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61A1C" w14:textId="3708D4B1" w:rsidR="00035AC7" w:rsidRDefault="00EA1768">
      <w:pPr>
        <w:tabs>
          <w:tab w:val="left" w:pos="1701"/>
          <w:tab w:val="right" w:pos="9639"/>
        </w:tabs>
        <w:overflowPunct w:val="0"/>
        <w:autoSpaceDE w:val="0"/>
        <w:autoSpaceDN w:val="0"/>
        <w:adjustRightInd w:val="0"/>
        <w:spacing w:after="60"/>
        <w:jc w:val="both"/>
        <w:textAlignment w:val="baseline"/>
        <w:rPr>
          <w:rFonts w:ascii="Arial" w:eastAsia="Times New Roman" w:hAnsi="Arial" w:cs="Times New Roman"/>
          <w:b/>
          <w:sz w:val="32"/>
          <w:szCs w:val="32"/>
          <w:lang w:val="en-US" w:eastAsia="zh-CN"/>
        </w:rPr>
      </w:pPr>
      <w:r>
        <w:rPr>
          <w:rFonts w:ascii="Arial" w:eastAsia="Times New Roman" w:hAnsi="Arial" w:cs="Times New Roman"/>
          <w:b/>
          <w:szCs w:val="20"/>
          <w:lang w:val="en-US" w:eastAsia="zh-CN"/>
        </w:rPr>
        <w:t>3GPP TSG-RAN WG2 Meeting #125</w:t>
      </w:r>
      <w:r>
        <w:rPr>
          <w:rFonts w:ascii="Arial" w:eastAsia="Times New Roman" w:hAnsi="Arial" w:cs="Times New Roman"/>
          <w:b/>
          <w:szCs w:val="20"/>
          <w:lang w:val="en-US" w:eastAsia="zh-CN"/>
        </w:rPr>
        <w:tab/>
      </w:r>
      <w:r>
        <w:rPr>
          <w:rFonts w:ascii="Arial" w:eastAsia="Times New Roman" w:hAnsi="Arial" w:cs="Times New Roman"/>
          <w:b/>
          <w:szCs w:val="20"/>
          <w:lang w:val="en-US" w:eastAsia="zh-CN"/>
        </w:rPr>
        <w:tab/>
      </w:r>
      <w:r>
        <w:rPr>
          <w:rFonts w:ascii="Arial" w:eastAsia="Times New Roman" w:hAnsi="Arial" w:cs="Times New Roman"/>
          <w:b/>
          <w:szCs w:val="20"/>
          <w:lang w:val="en-US" w:eastAsia="zh-CN"/>
        </w:rPr>
        <w:tab/>
      </w:r>
      <w:r>
        <w:rPr>
          <w:rFonts w:ascii="Arial" w:eastAsia="Times New Roman" w:hAnsi="Arial" w:cs="Times New Roman"/>
          <w:b/>
          <w:szCs w:val="20"/>
          <w:lang w:val="en-US" w:eastAsia="zh-CN"/>
        </w:rPr>
        <w:tab/>
      </w:r>
      <w:r w:rsidR="000656A3" w:rsidRPr="000656A3">
        <w:rPr>
          <w:rFonts w:ascii="Arial" w:eastAsia="Times New Roman" w:hAnsi="Arial" w:cs="Times New Roman"/>
          <w:b/>
          <w:sz w:val="32"/>
          <w:szCs w:val="32"/>
          <w:lang w:val="en-US" w:eastAsia="zh-CN"/>
        </w:rPr>
        <w:t>R2-2401411</w:t>
      </w:r>
    </w:p>
    <w:p w14:paraId="080459E6" w14:textId="77777777" w:rsidR="00035AC7" w:rsidRDefault="00EA1768">
      <w:pPr>
        <w:tabs>
          <w:tab w:val="left" w:pos="1701"/>
          <w:tab w:val="right" w:pos="9639"/>
        </w:tabs>
        <w:overflowPunct w:val="0"/>
        <w:autoSpaceDE w:val="0"/>
        <w:autoSpaceDN w:val="0"/>
        <w:adjustRightInd w:val="0"/>
        <w:spacing w:after="60"/>
        <w:jc w:val="both"/>
        <w:textAlignment w:val="baseline"/>
        <w:rPr>
          <w:rFonts w:ascii="Arial" w:eastAsia="Times New Roman" w:hAnsi="Arial" w:cs="Times New Roman"/>
          <w:b/>
          <w:szCs w:val="20"/>
          <w:lang w:val="en-GB" w:eastAsia="zh-CN"/>
        </w:rPr>
      </w:pPr>
      <w:r>
        <w:rPr>
          <w:rFonts w:ascii="Arial" w:eastAsia="Times New Roman" w:hAnsi="Arial" w:cs="Times New Roman"/>
          <w:b/>
          <w:szCs w:val="20"/>
          <w:lang w:val="en-GB" w:eastAsia="zh-CN"/>
        </w:rPr>
        <w:t>Athens, Greece, 26</w:t>
      </w:r>
      <w:r>
        <w:rPr>
          <w:rFonts w:ascii="Arial" w:eastAsia="Times New Roman" w:hAnsi="Arial" w:cs="Times New Roman"/>
          <w:b/>
          <w:szCs w:val="20"/>
          <w:vertAlign w:val="superscript"/>
          <w:lang w:val="en-GB" w:eastAsia="zh-CN"/>
        </w:rPr>
        <w:t>th</w:t>
      </w:r>
      <w:r>
        <w:rPr>
          <w:rFonts w:ascii="Arial" w:eastAsia="Times New Roman" w:hAnsi="Arial" w:cs="Times New Roman"/>
          <w:b/>
          <w:szCs w:val="20"/>
          <w:lang w:val="en-GB" w:eastAsia="zh-CN"/>
        </w:rPr>
        <w:t xml:space="preserve"> February – 1</w:t>
      </w:r>
      <w:r>
        <w:rPr>
          <w:rFonts w:ascii="Arial" w:eastAsia="Times New Roman" w:hAnsi="Arial" w:cs="Times New Roman"/>
          <w:b/>
          <w:szCs w:val="20"/>
          <w:vertAlign w:val="superscript"/>
          <w:lang w:val="en-GB" w:eastAsia="zh-CN"/>
        </w:rPr>
        <w:t>st</w:t>
      </w:r>
      <w:r>
        <w:rPr>
          <w:rFonts w:ascii="Arial" w:eastAsia="Times New Roman" w:hAnsi="Arial" w:cs="Times New Roman"/>
          <w:b/>
          <w:szCs w:val="20"/>
          <w:lang w:val="en-GB" w:eastAsia="zh-CN"/>
        </w:rPr>
        <w:t xml:space="preserve"> March 2024</w:t>
      </w:r>
    </w:p>
    <w:p w14:paraId="29F98919" w14:textId="77777777" w:rsidR="00035AC7" w:rsidRDefault="00035AC7">
      <w:pPr>
        <w:tabs>
          <w:tab w:val="left" w:pos="1701"/>
          <w:tab w:val="right" w:pos="9639"/>
        </w:tabs>
        <w:overflowPunct w:val="0"/>
        <w:autoSpaceDE w:val="0"/>
        <w:autoSpaceDN w:val="0"/>
        <w:adjustRightInd w:val="0"/>
        <w:spacing w:after="240"/>
        <w:jc w:val="both"/>
        <w:textAlignment w:val="baseline"/>
        <w:rPr>
          <w:rFonts w:ascii="Arial" w:eastAsia="Times New Roman" w:hAnsi="Arial" w:cs="Times New Roman"/>
          <w:b/>
          <w:szCs w:val="20"/>
          <w:lang w:val="en-GB" w:eastAsia="zh-CN"/>
        </w:rPr>
      </w:pPr>
    </w:p>
    <w:p w14:paraId="650D54ED" w14:textId="452C9ED5" w:rsidR="00035AC7" w:rsidRDefault="00EA1768">
      <w:pPr>
        <w:tabs>
          <w:tab w:val="left" w:pos="1701"/>
          <w:tab w:val="right" w:pos="9639"/>
        </w:tabs>
        <w:overflowPunct w:val="0"/>
        <w:autoSpaceDE w:val="0"/>
        <w:autoSpaceDN w:val="0"/>
        <w:adjustRightInd w:val="0"/>
        <w:spacing w:after="240"/>
        <w:jc w:val="both"/>
        <w:textAlignment w:val="baseline"/>
        <w:rPr>
          <w:rFonts w:ascii="Arial" w:eastAsia="Times New Roman" w:hAnsi="Arial" w:cs="Times New Roman"/>
          <w:b/>
          <w:sz w:val="22"/>
          <w:szCs w:val="22"/>
          <w:lang w:val="en-US" w:eastAsia="zh-CN"/>
        </w:rPr>
      </w:pPr>
      <w:r>
        <w:rPr>
          <w:rFonts w:ascii="Arial" w:eastAsia="Times New Roman" w:hAnsi="Arial" w:cs="Times New Roman"/>
          <w:b/>
          <w:sz w:val="22"/>
          <w:szCs w:val="22"/>
          <w:lang w:val="en-US" w:eastAsia="zh-CN"/>
        </w:rPr>
        <w:t>Agenda Item:</w:t>
      </w:r>
      <w:r>
        <w:rPr>
          <w:rFonts w:ascii="Arial" w:eastAsia="Times New Roman" w:hAnsi="Arial" w:cs="Times New Roman"/>
          <w:b/>
          <w:sz w:val="22"/>
          <w:szCs w:val="22"/>
          <w:lang w:val="en-US" w:eastAsia="zh-CN"/>
        </w:rPr>
        <w:tab/>
      </w:r>
      <w:r w:rsidR="000656A3" w:rsidRPr="000656A3">
        <w:rPr>
          <w:rFonts w:ascii="Arial" w:eastAsia="Times New Roman" w:hAnsi="Arial" w:cs="Times New Roman"/>
          <w:b/>
          <w:sz w:val="22"/>
          <w:szCs w:val="22"/>
          <w:lang w:val="en-US" w:eastAsia="zh-CN"/>
        </w:rPr>
        <w:t>7.7.1</w:t>
      </w:r>
    </w:p>
    <w:p w14:paraId="4B8007ED" w14:textId="77777777" w:rsidR="00035AC7" w:rsidRDefault="00EA1768">
      <w:pPr>
        <w:tabs>
          <w:tab w:val="left" w:pos="1701"/>
          <w:tab w:val="right" w:pos="9639"/>
        </w:tabs>
        <w:overflowPunct w:val="0"/>
        <w:autoSpaceDE w:val="0"/>
        <w:autoSpaceDN w:val="0"/>
        <w:adjustRightInd w:val="0"/>
        <w:spacing w:after="240"/>
        <w:jc w:val="both"/>
        <w:textAlignment w:val="baseline"/>
        <w:rPr>
          <w:rFonts w:ascii="Arial" w:eastAsia="Times New Roman" w:hAnsi="Arial" w:cs="Times New Roman"/>
          <w:b/>
          <w:sz w:val="22"/>
          <w:szCs w:val="22"/>
          <w:lang w:val="en-GB" w:eastAsia="zh-CN"/>
        </w:rPr>
      </w:pPr>
      <w:r>
        <w:rPr>
          <w:rFonts w:ascii="Arial" w:eastAsia="Times New Roman" w:hAnsi="Arial" w:cs="Times New Roman"/>
          <w:b/>
          <w:sz w:val="22"/>
          <w:szCs w:val="22"/>
          <w:lang w:val="en-GB" w:eastAsia="zh-CN"/>
        </w:rPr>
        <w:t>Source:</w:t>
      </w:r>
      <w:r>
        <w:rPr>
          <w:rFonts w:ascii="Arial" w:eastAsia="Times New Roman" w:hAnsi="Arial" w:cs="Times New Roman"/>
          <w:b/>
          <w:sz w:val="22"/>
          <w:szCs w:val="22"/>
          <w:lang w:val="en-GB" w:eastAsia="zh-CN"/>
        </w:rPr>
        <w:tab/>
        <w:t>Ericsson</w:t>
      </w:r>
    </w:p>
    <w:p w14:paraId="09BCE44B" w14:textId="3AAFE730" w:rsidR="00035AC7" w:rsidRDefault="00EA1768">
      <w:pPr>
        <w:tabs>
          <w:tab w:val="left" w:pos="1701"/>
          <w:tab w:val="right" w:pos="9639"/>
        </w:tabs>
        <w:overflowPunct w:val="0"/>
        <w:autoSpaceDE w:val="0"/>
        <w:autoSpaceDN w:val="0"/>
        <w:adjustRightInd w:val="0"/>
        <w:spacing w:after="240"/>
        <w:jc w:val="both"/>
        <w:textAlignment w:val="baseline"/>
        <w:rPr>
          <w:rFonts w:ascii="Arial" w:eastAsia="Times New Roman" w:hAnsi="Arial" w:cs="Times New Roman"/>
          <w:b/>
          <w:sz w:val="22"/>
          <w:szCs w:val="22"/>
          <w:lang w:val="en-GB" w:eastAsia="zh-CN"/>
        </w:rPr>
      </w:pPr>
      <w:r>
        <w:rPr>
          <w:rFonts w:ascii="Arial" w:eastAsia="Times New Roman" w:hAnsi="Arial" w:cs="Times New Roman"/>
          <w:b/>
          <w:sz w:val="22"/>
          <w:szCs w:val="22"/>
          <w:lang w:val="en-GB" w:eastAsia="zh-CN"/>
        </w:rPr>
        <w:t>Title:</w:t>
      </w:r>
      <w:r>
        <w:rPr>
          <w:rFonts w:ascii="Arial" w:eastAsia="Times New Roman" w:hAnsi="Arial" w:cs="Times New Roman"/>
          <w:b/>
          <w:sz w:val="22"/>
          <w:szCs w:val="22"/>
          <w:lang w:val="en-GB" w:eastAsia="zh-CN"/>
        </w:rPr>
        <w:tab/>
      </w:r>
      <w:r w:rsidR="000656A3" w:rsidRPr="000656A3">
        <w:rPr>
          <w:rFonts w:ascii="Arial" w:eastAsia="Times New Roman" w:hAnsi="Arial" w:cs="Times New Roman"/>
          <w:b/>
          <w:sz w:val="22"/>
          <w:szCs w:val="22"/>
          <w:lang w:val="en-GB" w:eastAsia="zh-CN"/>
        </w:rPr>
        <w:t>Rapporteur input R18 NR NTN RRC RIL</w:t>
      </w:r>
    </w:p>
    <w:p w14:paraId="2E8ED8E1" w14:textId="77777777" w:rsidR="00035AC7" w:rsidRDefault="00EA1768">
      <w:pPr>
        <w:tabs>
          <w:tab w:val="left" w:pos="1701"/>
          <w:tab w:val="right" w:pos="9639"/>
        </w:tabs>
        <w:overflowPunct w:val="0"/>
        <w:autoSpaceDE w:val="0"/>
        <w:autoSpaceDN w:val="0"/>
        <w:adjustRightInd w:val="0"/>
        <w:spacing w:after="240"/>
        <w:jc w:val="both"/>
        <w:textAlignment w:val="baseline"/>
        <w:rPr>
          <w:rFonts w:ascii="Arial" w:eastAsia="Times New Roman" w:hAnsi="Arial" w:cs="Times New Roman"/>
          <w:b/>
          <w:sz w:val="22"/>
          <w:szCs w:val="22"/>
          <w:lang w:val="en-GB" w:eastAsia="zh-CN"/>
        </w:rPr>
      </w:pPr>
      <w:r>
        <w:rPr>
          <w:rFonts w:ascii="Arial" w:eastAsia="Times New Roman" w:hAnsi="Arial" w:cs="Times New Roman"/>
          <w:b/>
          <w:sz w:val="22"/>
          <w:szCs w:val="22"/>
          <w:lang w:val="en-GB" w:eastAsia="zh-CN"/>
        </w:rPr>
        <w:t>Document for:</w:t>
      </w:r>
      <w:r>
        <w:rPr>
          <w:rFonts w:ascii="Arial" w:eastAsia="Times New Roman" w:hAnsi="Arial" w:cs="Times New Roman"/>
          <w:b/>
          <w:sz w:val="22"/>
          <w:szCs w:val="22"/>
          <w:lang w:val="en-GB" w:eastAsia="zh-CN"/>
        </w:rPr>
        <w:tab/>
        <w:t>Discussion, Decision</w:t>
      </w:r>
    </w:p>
    <w:p w14:paraId="3922FC17" w14:textId="77777777" w:rsidR="00035AC7" w:rsidRDefault="00035AC7">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p>
    <w:p w14:paraId="0E2DDBB8" w14:textId="77777777" w:rsidR="00035AC7" w:rsidRDefault="00EA1768">
      <w:pPr>
        <w:keepNext/>
        <w:keepLines/>
        <w:pBdr>
          <w:top w:val="single" w:sz="12" w:space="3" w:color="auto"/>
        </w:pBdr>
        <w:overflowPunct w:val="0"/>
        <w:autoSpaceDE w:val="0"/>
        <w:autoSpaceDN w:val="0"/>
        <w:adjustRightInd w:val="0"/>
        <w:spacing w:before="240" w:after="180"/>
        <w:textAlignment w:val="baseline"/>
        <w:outlineLvl w:val="0"/>
        <w:rPr>
          <w:rFonts w:ascii="Arial" w:eastAsia="Times New Roman" w:hAnsi="Arial" w:cs="Times New Roman"/>
          <w:sz w:val="36"/>
          <w:szCs w:val="20"/>
          <w:lang w:val="en-GB" w:eastAsia="ja-JP"/>
        </w:rPr>
      </w:pPr>
      <w:r>
        <w:rPr>
          <w:rFonts w:ascii="Arial" w:eastAsia="Times New Roman" w:hAnsi="Arial" w:cs="Times New Roman"/>
          <w:sz w:val="36"/>
          <w:szCs w:val="20"/>
          <w:lang w:val="en-GB" w:eastAsia="ja-JP"/>
        </w:rPr>
        <w:t>1</w:t>
      </w:r>
      <w:r>
        <w:rPr>
          <w:rFonts w:ascii="Arial" w:eastAsia="Times New Roman" w:hAnsi="Arial" w:cs="Times New Roman"/>
          <w:sz w:val="36"/>
          <w:szCs w:val="20"/>
          <w:lang w:val="en-GB" w:eastAsia="ja-JP"/>
        </w:rPr>
        <w:tab/>
        <w:t>Introduction</w:t>
      </w:r>
    </w:p>
    <w:p w14:paraId="1052E1C3" w14:textId="4C052BE0" w:rsidR="00035AC7" w:rsidRDefault="00EA1768">
      <w:pPr>
        <w:overflowPunct w:val="0"/>
        <w:autoSpaceDE w:val="0"/>
        <w:autoSpaceDN w:val="0"/>
        <w:adjustRightInd w:val="0"/>
        <w:spacing w:after="120"/>
        <w:jc w:val="both"/>
        <w:textAlignment w:val="baseline"/>
        <w:rPr>
          <w:rFonts w:ascii="Arial" w:eastAsia="Times New Roman" w:hAnsi="Arial" w:cs="Times New Roman"/>
          <w:sz w:val="20"/>
          <w:szCs w:val="20"/>
          <w:lang w:val="en-GB" w:eastAsia="zh-CN"/>
        </w:rPr>
      </w:pPr>
      <w:r>
        <w:rPr>
          <w:rFonts w:ascii="Arial" w:eastAsia="Times New Roman" w:hAnsi="Arial" w:cs="Times New Roman"/>
          <w:sz w:val="20"/>
          <w:szCs w:val="20"/>
          <w:lang w:val="en-GB" w:eastAsia="zh-CN"/>
        </w:rPr>
        <w:t xml:space="preserve">In this contribution, a list of RILs for the </w:t>
      </w:r>
      <w:r w:rsidR="00D2002E">
        <w:rPr>
          <w:rFonts w:ascii="Arial" w:eastAsia="Times New Roman" w:hAnsi="Arial" w:cs="Times New Roman"/>
          <w:sz w:val="20"/>
          <w:szCs w:val="20"/>
          <w:lang w:val="en-GB" w:eastAsia="zh-CN"/>
        </w:rPr>
        <w:t xml:space="preserve">NR NTN enhancements </w:t>
      </w:r>
      <w:r>
        <w:rPr>
          <w:rFonts w:ascii="Arial" w:eastAsia="Times New Roman" w:hAnsi="Arial" w:cs="Times New Roman"/>
          <w:sz w:val="20"/>
          <w:szCs w:val="20"/>
          <w:lang w:val="en-GB" w:eastAsia="zh-CN"/>
        </w:rPr>
        <w:t>work item with relating conclusion and comment is provided.</w:t>
      </w:r>
    </w:p>
    <w:p w14:paraId="56ABA6FE" w14:textId="77777777" w:rsidR="00035AC7" w:rsidRDefault="00EA1768">
      <w:pPr>
        <w:pStyle w:val="Heading1"/>
      </w:pPr>
      <w:bookmarkStart w:id="0" w:name="_Ref178064866"/>
      <w:r>
        <w:t>2</w:t>
      </w:r>
      <w:r>
        <w:tab/>
        <w:t>Discussion</w:t>
      </w:r>
      <w:bookmarkEnd w:id="0"/>
    </w:p>
    <w:tbl>
      <w:tblPr>
        <w:tblStyle w:val="TableGrid"/>
        <w:tblW w:w="0" w:type="auto"/>
        <w:tblLook w:val="04A0" w:firstRow="1" w:lastRow="0" w:firstColumn="1" w:lastColumn="0" w:noHBand="0" w:noVBand="1"/>
      </w:tblPr>
      <w:tblGrid>
        <w:gridCol w:w="636"/>
        <w:gridCol w:w="1277"/>
        <w:gridCol w:w="646"/>
        <w:gridCol w:w="675"/>
        <w:gridCol w:w="1152"/>
        <w:gridCol w:w="2195"/>
        <w:gridCol w:w="2147"/>
        <w:gridCol w:w="3121"/>
        <w:gridCol w:w="2099"/>
      </w:tblGrid>
      <w:tr w:rsidR="00E71BC9" w:rsidRPr="00E71BC9" w14:paraId="26DD581D" w14:textId="77777777" w:rsidTr="00E71BC9">
        <w:trPr>
          <w:trHeight w:val="300"/>
        </w:trPr>
        <w:tc>
          <w:tcPr>
            <w:tcW w:w="69" w:type="dxa"/>
            <w:noWrap/>
            <w:hideMark/>
          </w:tcPr>
          <w:p w14:paraId="13970F0C"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b/>
                <w:bCs/>
                <w:sz w:val="20"/>
                <w:szCs w:val="20"/>
                <w:lang w:val="en-SE" w:eastAsia="zh-CN"/>
              </w:rPr>
            </w:pPr>
            <w:r w:rsidRPr="00E71BC9">
              <w:rPr>
                <w:rFonts w:ascii="Arial" w:eastAsia="Times New Roman" w:hAnsi="Arial" w:cs="Times New Roman"/>
                <w:b/>
                <w:bCs/>
                <w:sz w:val="20"/>
                <w:szCs w:val="20"/>
                <w:lang w:eastAsia="zh-CN"/>
              </w:rPr>
              <w:t>ID</w:t>
            </w:r>
          </w:p>
        </w:tc>
        <w:tc>
          <w:tcPr>
            <w:tcW w:w="198" w:type="dxa"/>
            <w:noWrap/>
            <w:hideMark/>
          </w:tcPr>
          <w:p w14:paraId="2528FFCD"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b/>
                <w:bCs/>
                <w:sz w:val="20"/>
                <w:szCs w:val="20"/>
                <w:lang w:eastAsia="zh-CN"/>
              </w:rPr>
            </w:pPr>
            <w:r w:rsidRPr="00E71BC9">
              <w:rPr>
                <w:rFonts w:ascii="Arial" w:eastAsia="Times New Roman" w:hAnsi="Arial" w:cs="Times New Roman"/>
                <w:b/>
                <w:bCs/>
                <w:sz w:val="20"/>
                <w:szCs w:val="20"/>
                <w:lang w:eastAsia="zh-CN"/>
              </w:rPr>
              <w:t>Delegate</w:t>
            </w:r>
          </w:p>
        </w:tc>
        <w:tc>
          <w:tcPr>
            <w:tcW w:w="179" w:type="dxa"/>
            <w:noWrap/>
            <w:hideMark/>
          </w:tcPr>
          <w:p w14:paraId="30EA170B"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b/>
                <w:bCs/>
                <w:sz w:val="20"/>
                <w:szCs w:val="20"/>
                <w:lang w:eastAsia="zh-CN"/>
              </w:rPr>
            </w:pPr>
            <w:r w:rsidRPr="00E71BC9">
              <w:rPr>
                <w:rFonts w:ascii="Arial" w:eastAsia="Times New Roman" w:hAnsi="Arial" w:cs="Times New Roman"/>
                <w:b/>
                <w:bCs/>
                <w:sz w:val="20"/>
                <w:szCs w:val="20"/>
                <w:lang w:eastAsia="zh-CN"/>
              </w:rPr>
              <w:t>Work Item</w:t>
            </w:r>
          </w:p>
        </w:tc>
        <w:tc>
          <w:tcPr>
            <w:tcW w:w="68" w:type="dxa"/>
            <w:noWrap/>
            <w:hideMark/>
          </w:tcPr>
          <w:p w14:paraId="1F82C3FC"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b/>
                <w:bCs/>
                <w:sz w:val="20"/>
                <w:szCs w:val="20"/>
                <w:lang w:eastAsia="zh-CN"/>
              </w:rPr>
            </w:pPr>
            <w:r w:rsidRPr="00E71BC9">
              <w:rPr>
                <w:rFonts w:ascii="Arial" w:eastAsia="Times New Roman" w:hAnsi="Arial" w:cs="Times New Roman"/>
                <w:b/>
                <w:bCs/>
                <w:sz w:val="20"/>
                <w:szCs w:val="20"/>
                <w:lang w:eastAsia="zh-CN"/>
              </w:rPr>
              <w:t>Class</w:t>
            </w:r>
          </w:p>
        </w:tc>
        <w:tc>
          <w:tcPr>
            <w:tcW w:w="172" w:type="dxa"/>
            <w:shd w:val="clear" w:color="auto" w:fill="E2EFD9" w:themeFill="accent6" w:themeFillTint="33"/>
            <w:noWrap/>
            <w:hideMark/>
          </w:tcPr>
          <w:p w14:paraId="76A55CDB"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b/>
                <w:bCs/>
                <w:sz w:val="20"/>
                <w:szCs w:val="20"/>
                <w:lang w:eastAsia="zh-CN"/>
              </w:rPr>
            </w:pPr>
            <w:r w:rsidRPr="00E71BC9">
              <w:rPr>
                <w:rFonts w:ascii="Arial" w:eastAsia="Times New Roman" w:hAnsi="Arial" w:cs="Times New Roman"/>
                <w:b/>
                <w:bCs/>
                <w:sz w:val="20"/>
                <w:szCs w:val="20"/>
                <w:lang w:eastAsia="zh-CN"/>
              </w:rPr>
              <w:t>Proposed Conclusion</w:t>
            </w:r>
          </w:p>
        </w:tc>
        <w:tc>
          <w:tcPr>
            <w:tcW w:w="2229" w:type="dxa"/>
            <w:noWrap/>
            <w:hideMark/>
          </w:tcPr>
          <w:p w14:paraId="40E8343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b/>
                <w:bCs/>
                <w:sz w:val="20"/>
                <w:szCs w:val="20"/>
                <w:lang w:eastAsia="zh-CN"/>
              </w:rPr>
            </w:pPr>
            <w:r w:rsidRPr="00E71BC9">
              <w:rPr>
                <w:rFonts w:ascii="Arial" w:eastAsia="Times New Roman" w:hAnsi="Arial" w:cs="Times New Roman"/>
                <w:b/>
                <w:bCs/>
                <w:sz w:val="20"/>
                <w:szCs w:val="20"/>
                <w:lang w:eastAsia="zh-CN"/>
              </w:rPr>
              <w:t>Comments to Proposed Conclusion</w:t>
            </w:r>
          </w:p>
        </w:tc>
        <w:tc>
          <w:tcPr>
            <w:tcW w:w="1987" w:type="dxa"/>
            <w:noWrap/>
            <w:hideMark/>
          </w:tcPr>
          <w:p w14:paraId="272923F0"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b/>
                <w:bCs/>
                <w:sz w:val="20"/>
                <w:szCs w:val="20"/>
                <w:lang w:eastAsia="zh-CN"/>
              </w:rPr>
            </w:pPr>
            <w:r w:rsidRPr="00E71BC9">
              <w:rPr>
                <w:rFonts w:ascii="Arial" w:eastAsia="Times New Roman" w:hAnsi="Arial" w:cs="Times New Roman"/>
                <w:b/>
                <w:bCs/>
                <w:sz w:val="20"/>
                <w:szCs w:val="20"/>
                <w:lang w:eastAsia="zh-CN"/>
              </w:rPr>
              <w:t>Description</w:t>
            </w:r>
          </w:p>
        </w:tc>
        <w:tc>
          <w:tcPr>
            <w:tcW w:w="2229" w:type="dxa"/>
            <w:noWrap/>
            <w:hideMark/>
          </w:tcPr>
          <w:p w14:paraId="705479DD"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b/>
                <w:bCs/>
                <w:sz w:val="20"/>
                <w:szCs w:val="20"/>
                <w:lang w:eastAsia="zh-CN"/>
              </w:rPr>
            </w:pPr>
            <w:r w:rsidRPr="00E71BC9">
              <w:rPr>
                <w:rFonts w:ascii="Arial" w:eastAsia="Times New Roman" w:hAnsi="Arial" w:cs="Times New Roman"/>
                <w:b/>
                <w:bCs/>
                <w:sz w:val="20"/>
                <w:szCs w:val="20"/>
                <w:lang w:eastAsia="zh-CN"/>
              </w:rPr>
              <w:t>Proposed Change</w:t>
            </w:r>
          </w:p>
        </w:tc>
        <w:tc>
          <w:tcPr>
            <w:tcW w:w="2229" w:type="dxa"/>
            <w:noWrap/>
            <w:hideMark/>
          </w:tcPr>
          <w:p w14:paraId="73D3FEA8"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b/>
                <w:bCs/>
                <w:sz w:val="20"/>
                <w:szCs w:val="20"/>
                <w:lang w:eastAsia="zh-CN"/>
              </w:rPr>
            </w:pPr>
            <w:r w:rsidRPr="00E71BC9">
              <w:rPr>
                <w:rFonts w:ascii="Arial" w:eastAsia="Times New Roman" w:hAnsi="Arial" w:cs="Times New Roman"/>
                <w:b/>
                <w:bCs/>
                <w:sz w:val="20"/>
                <w:szCs w:val="20"/>
                <w:lang w:eastAsia="zh-CN"/>
              </w:rPr>
              <w:t>Comments</w:t>
            </w:r>
          </w:p>
        </w:tc>
      </w:tr>
      <w:tr w:rsidR="00E71BC9" w:rsidRPr="00E71BC9" w14:paraId="06BF3271" w14:textId="77777777" w:rsidTr="00E71BC9">
        <w:trPr>
          <w:trHeight w:val="300"/>
        </w:trPr>
        <w:tc>
          <w:tcPr>
            <w:tcW w:w="69" w:type="dxa"/>
            <w:noWrap/>
            <w:hideMark/>
          </w:tcPr>
          <w:p w14:paraId="148A055D"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C600</w:t>
            </w:r>
          </w:p>
        </w:tc>
        <w:tc>
          <w:tcPr>
            <w:tcW w:w="198" w:type="dxa"/>
            <w:noWrap/>
            <w:hideMark/>
          </w:tcPr>
          <w:p w14:paraId="0DFC7670"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CATT (Xiao)</w:t>
            </w:r>
          </w:p>
        </w:tc>
        <w:tc>
          <w:tcPr>
            <w:tcW w:w="179" w:type="dxa"/>
            <w:noWrap/>
            <w:hideMark/>
          </w:tcPr>
          <w:p w14:paraId="29585C43"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3DD84B4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2DCDEECA"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PropAgree</w:t>
            </w:r>
          </w:p>
        </w:tc>
        <w:tc>
          <w:tcPr>
            <w:tcW w:w="2229" w:type="dxa"/>
            <w:noWrap/>
            <w:hideMark/>
          </w:tcPr>
          <w:p w14:paraId="504E9419"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Agree. It will be addressed in the Rapp CR.</w:t>
            </w:r>
          </w:p>
        </w:tc>
        <w:tc>
          <w:tcPr>
            <w:tcW w:w="1987" w:type="dxa"/>
            <w:noWrap/>
            <w:hideMark/>
          </w:tcPr>
          <w:p w14:paraId="71945F51"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Redundant duplicated entry condition for condEventD2, w.r.t. condEventD1</w:t>
            </w:r>
          </w:p>
        </w:tc>
        <w:tc>
          <w:tcPr>
            <w:tcW w:w="2229" w:type="dxa"/>
            <w:noWrap/>
            <w:hideMark/>
          </w:tcPr>
          <w:p w14:paraId="64199744"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This “if” condition on entry condition fulfilment for condEventD2 can be merged with that for condEventD1 right above, because they are exactly the same. It is thus proposed to merge this condition for condEventD2 with condEventD1.</w:t>
            </w:r>
          </w:p>
        </w:tc>
        <w:tc>
          <w:tcPr>
            <w:tcW w:w="2229" w:type="dxa"/>
            <w:noWrap/>
            <w:hideMark/>
          </w:tcPr>
          <w:p w14:paraId="44CCFAD2"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Agree. It will be addressed in the Rapp CR.</w:t>
            </w:r>
          </w:p>
        </w:tc>
      </w:tr>
      <w:tr w:rsidR="00E71BC9" w:rsidRPr="00E71BC9" w14:paraId="5A3BD78B" w14:textId="77777777" w:rsidTr="00E71BC9">
        <w:trPr>
          <w:trHeight w:val="300"/>
        </w:trPr>
        <w:tc>
          <w:tcPr>
            <w:tcW w:w="69" w:type="dxa"/>
            <w:noWrap/>
            <w:hideMark/>
          </w:tcPr>
          <w:p w14:paraId="6FFEDEF5"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C601</w:t>
            </w:r>
          </w:p>
        </w:tc>
        <w:tc>
          <w:tcPr>
            <w:tcW w:w="198" w:type="dxa"/>
            <w:noWrap/>
            <w:hideMark/>
          </w:tcPr>
          <w:p w14:paraId="1FBC48E7"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CATT (Xiao)</w:t>
            </w:r>
          </w:p>
        </w:tc>
        <w:tc>
          <w:tcPr>
            <w:tcW w:w="179" w:type="dxa"/>
            <w:noWrap/>
            <w:hideMark/>
          </w:tcPr>
          <w:p w14:paraId="15458EFA"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288AC41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6E928EA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PropAgree</w:t>
            </w:r>
          </w:p>
        </w:tc>
        <w:tc>
          <w:tcPr>
            <w:tcW w:w="2229" w:type="dxa"/>
            <w:noWrap/>
            <w:hideMark/>
          </w:tcPr>
          <w:p w14:paraId="0778BCF9"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Agree. It will be addressed in the Rapp CR.</w:t>
            </w:r>
          </w:p>
        </w:tc>
        <w:tc>
          <w:tcPr>
            <w:tcW w:w="1987" w:type="dxa"/>
            <w:noWrap/>
            <w:hideMark/>
          </w:tcPr>
          <w:p w14:paraId="3DF6576D"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Redundant duplicated leaving condition for condEventD2, w.r.t. condEventD1</w:t>
            </w:r>
          </w:p>
        </w:tc>
        <w:tc>
          <w:tcPr>
            <w:tcW w:w="2229" w:type="dxa"/>
            <w:noWrap/>
            <w:hideMark/>
          </w:tcPr>
          <w:p w14:paraId="2E84C891"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This “if” condition on leaving condition fulfilment for condEventD2 can be merged with that for condEventD1 right above, because they are exactly the same. It is thus proposed to merge this condition for condEventD2 with condEventD1.</w:t>
            </w:r>
          </w:p>
        </w:tc>
        <w:tc>
          <w:tcPr>
            <w:tcW w:w="2229" w:type="dxa"/>
            <w:noWrap/>
            <w:hideMark/>
          </w:tcPr>
          <w:p w14:paraId="370F1F98"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Agree. It will be addressed in the Rapp CR.</w:t>
            </w:r>
          </w:p>
        </w:tc>
      </w:tr>
      <w:tr w:rsidR="00E71BC9" w:rsidRPr="00E71BC9" w14:paraId="3FE7807E" w14:textId="77777777" w:rsidTr="00E71BC9">
        <w:trPr>
          <w:trHeight w:val="300"/>
        </w:trPr>
        <w:tc>
          <w:tcPr>
            <w:tcW w:w="69" w:type="dxa"/>
            <w:noWrap/>
            <w:hideMark/>
          </w:tcPr>
          <w:p w14:paraId="44C8DAB8"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C602</w:t>
            </w:r>
          </w:p>
        </w:tc>
        <w:tc>
          <w:tcPr>
            <w:tcW w:w="198" w:type="dxa"/>
            <w:noWrap/>
            <w:hideMark/>
          </w:tcPr>
          <w:p w14:paraId="687B9BE9"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CATT (Xiao)</w:t>
            </w:r>
          </w:p>
        </w:tc>
        <w:tc>
          <w:tcPr>
            <w:tcW w:w="179" w:type="dxa"/>
            <w:noWrap/>
            <w:hideMark/>
          </w:tcPr>
          <w:p w14:paraId="69191607"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026F0953"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78C57583"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PropReject</w:t>
            </w:r>
          </w:p>
        </w:tc>
        <w:tc>
          <w:tcPr>
            <w:tcW w:w="2229" w:type="dxa"/>
            <w:noWrap/>
            <w:hideMark/>
          </w:tcPr>
          <w:p w14:paraId="4A3A23EB"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This responds to an agreement in RAN2#124. We agree that this SIB should not be provided neither on-demand or via dedicated signalling.</w:t>
            </w:r>
          </w:p>
        </w:tc>
        <w:tc>
          <w:tcPr>
            <w:tcW w:w="1987" w:type="dxa"/>
            <w:noWrap/>
            <w:hideMark/>
          </w:tcPr>
          <w:p w14:paraId="3380CC8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Removal of SIB25 here.</w:t>
            </w:r>
          </w:p>
        </w:tc>
        <w:tc>
          <w:tcPr>
            <w:tcW w:w="2229" w:type="dxa"/>
            <w:noWrap/>
            <w:hideMark/>
          </w:tcPr>
          <w:p w14:paraId="6F3449C9"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SIB25 includes TN information which is only used for cell reselection in RRC_IDLE/INACTIVE, and has no case to be used in RRC_CONNECTED. So SIB25 should be removed here.</w:t>
            </w:r>
          </w:p>
        </w:tc>
        <w:tc>
          <w:tcPr>
            <w:tcW w:w="2229" w:type="dxa"/>
            <w:noWrap/>
            <w:hideMark/>
          </w:tcPr>
          <w:p w14:paraId="43FF9AEE"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[QC v084] Disagree. It can be useful for connected mode measurements of TN frequencies. [CATT v087] In Rel-18 NR NTN, the TN areas in SIB25 are only introduced to support NTN to TN cell reselection enhancement, and there has been no agreement on using them also for connected measurments which is not within the Rel-18 NR NTN WI scope either. [Ericsson - Ignacio] This responds to an agreement in RAN2#124. We agree that this SIB should not be provided neither on-</w:t>
            </w:r>
            <w:r w:rsidRPr="00E71BC9">
              <w:rPr>
                <w:rFonts w:ascii="Arial" w:eastAsia="Times New Roman" w:hAnsi="Arial" w:cs="Times New Roman"/>
                <w:sz w:val="20"/>
                <w:szCs w:val="20"/>
                <w:lang w:eastAsia="zh-CN"/>
              </w:rPr>
              <w:lastRenderedPageBreak/>
              <w:t>demand or via dedicated signalling. [CATT (Xiaox)_v126] But what is the use case to signal SIB25 to a CONNECTED UE?</w:t>
            </w:r>
          </w:p>
        </w:tc>
      </w:tr>
      <w:tr w:rsidR="00E71BC9" w:rsidRPr="00E71BC9" w14:paraId="67298074" w14:textId="77777777" w:rsidTr="00E71BC9">
        <w:trPr>
          <w:trHeight w:val="300"/>
        </w:trPr>
        <w:tc>
          <w:tcPr>
            <w:tcW w:w="69" w:type="dxa"/>
            <w:noWrap/>
            <w:hideMark/>
          </w:tcPr>
          <w:p w14:paraId="2F39280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C603</w:t>
            </w:r>
          </w:p>
        </w:tc>
        <w:tc>
          <w:tcPr>
            <w:tcW w:w="198" w:type="dxa"/>
            <w:noWrap/>
            <w:hideMark/>
          </w:tcPr>
          <w:p w14:paraId="3EC28976"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CATT (Xiao)</w:t>
            </w:r>
          </w:p>
        </w:tc>
        <w:tc>
          <w:tcPr>
            <w:tcW w:w="179" w:type="dxa"/>
            <w:noWrap/>
            <w:hideMark/>
          </w:tcPr>
          <w:p w14:paraId="48204EAE"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1A7748B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6D2E9190"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PropAgree</w:t>
            </w:r>
          </w:p>
        </w:tc>
        <w:tc>
          <w:tcPr>
            <w:tcW w:w="2229" w:type="dxa"/>
            <w:noWrap/>
            <w:hideMark/>
          </w:tcPr>
          <w:p w14:paraId="2E933AC6"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Agree. It will be addressed in the Rapp CR.</w:t>
            </w:r>
          </w:p>
        </w:tc>
        <w:tc>
          <w:tcPr>
            <w:tcW w:w="1987" w:type="dxa"/>
            <w:noWrap/>
            <w:hideMark/>
          </w:tcPr>
          <w:p w14:paraId="61428256"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Missing timing reference point definition for this t-ServiceStart.</w:t>
            </w:r>
          </w:p>
        </w:tc>
        <w:tc>
          <w:tcPr>
            <w:tcW w:w="2229" w:type="dxa"/>
            <w:noWrap/>
            <w:hideMark/>
          </w:tcPr>
          <w:p w14:paraId="4F8F173A"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Add the field description “The reference point for t-Service is the uplink time synchronization reference point of the cell.” to clarify the timing reference (similar to t-Service).</w:t>
            </w:r>
          </w:p>
        </w:tc>
        <w:tc>
          <w:tcPr>
            <w:tcW w:w="2229" w:type="dxa"/>
            <w:noWrap/>
            <w:hideMark/>
          </w:tcPr>
          <w:p w14:paraId="3F7ADAD2"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Agree. It will be addressed in the Rapp CR.</w:t>
            </w:r>
          </w:p>
        </w:tc>
      </w:tr>
      <w:tr w:rsidR="00E71BC9" w:rsidRPr="00E71BC9" w14:paraId="257A9D71" w14:textId="77777777" w:rsidTr="00E71BC9">
        <w:trPr>
          <w:trHeight w:val="300"/>
        </w:trPr>
        <w:tc>
          <w:tcPr>
            <w:tcW w:w="69" w:type="dxa"/>
            <w:noWrap/>
            <w:hideMark/>
          </w:tcPr>
          <w:p w14:paraId="3E31DDF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C604</w:t>
            </w:r>
          </w:p>
        </w:tc>
        <w:tc>
          <w:tcPr>
            <w:tcW w:w="198" w:type="dxa"/>
            <w:noWrap/>
            <w:hideMark/>
          </w:tcPr>
          <w:p w14:paraId="1A1E6325"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CATT (Xiao)</w:t>
            </w:r>
          </w:p>
        </w:tc>
        <w:tc>
          <w:tcPr>
            <w:tcW w:w="179" w:type="dxa"/>
            <w:noWrap/>
            <w:hideMark/>
          </w:tcPr>
          <w:p w14:paraId="1ACE3E50"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75393B8E"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2</w:t>
            </w:r>
          </w:p>
        </w:tc>
        <w:tc>
          <w:tcPr>
            <w:tcW w:w="172" w:type="dxa"/>
            <w:shd w:val="clear" w:color="auto" w:fill="E2EFD9" w:themeFill="accent6" w:themeFillTint="33"/>
            <w:noWrap/>
            <w:hideMark/>
          </w:tcPr>
          <w:p w14:paraId="2FAEB524"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PropReject</w:t>
            </w:r>
          </w:p>
        </w:tc>
        <w:tc>
          <w:tcPr>
            <w:tcW w:w="2229" w:type="dxa"/>
            <w:noWrap/>
            <w:hideMark/>
          </w:tcPr>
          <w:p w14:paraId="5C67F7F9"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This was already discussed and agreed the way forward upon RAN2#124. To avoid repeating discussions, we do not agree a contribution is required unless something is clearly broken.</w:t>
            </w:r>
          </w:p>
        </w:tc>
        <w:tc>
          <w:tcPr>
            <w:tcW w:w="1987" w:type="dxa"/>
            <w:noWrap/>
            <w:hideMark/>
          </w:tcPr>
          <w:p w14:paraId="1BA0F9C1"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Uncertain correctness of the parameters included in this IE for CG RACH-less HO</w:t>
            </w:r>
          </w:p>
        </w:tc>
        <w:tc>
          <w:tcPr>
            <w:tcW w:w="2229" w:type="dxa"/>
            <w:noWrap/>
            <w:hideMark/>
          </w:tcPr>
          <w:p w14:paraId="099A22FB"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 xml:space="preserve">The L1 parameters of CG RACH-less HO have never been discussed by RAN1, and the current spec assumes direct reuse of the cg-SDT related parameters. However, there could be the following issues: 1) the L1 parameters included in this IE for RACH-less HO (i.e. ntn-RSRP-ThresholdSSB-r18, ntn-SSB-PerCG-PUSCH-r18, ntn-SSB-Subset-r18, ntn-DMRS-Ports-r18, ntn-NrofDMRS-Sequences-r18) were directly copied from CG-SDT-Configuration-r17, including the value range, and correctness of them have never been checked or discussed by RAN1. 2) There also are some parameters in rrc-ConfiguredUplinkGrant which are clearly specified as not </w:t>
            </w:r>
            <w:r w:rsidRPr="00E71BC9">
              <w:rPr>
                <w:rFonts w:ascii="Arial" w:eastAsia="Times New Roman" w:hAnsi="Arial" w:cs="Times New Roman"/>
                <w:sz w:val="20"/>
                <w:szCs w:val="20"/>
                <w:lang w:eastAsia="zh-CN"/>
              </w:rPr>
              <w:lastRenderedPageBreak/>
              <w:t>applicable to cg-SDT (per previous RAN1 LS, including antennaPort, athlossReferenceIndex, phy-PriorityIndex, srs-ResourceIndicator, precodingAndNumberOfLayers), and it is unclear whether such restriction also apply to the similar parameters for CG RACH-less HO.  So the correctness of these L1 parameters for RACH-less HO is uncertain, and needs to be checked by RAN1. Consequence of not doing so is that dummification is needed if any of the parameters is later found to be incorrect.  We will bring a contribution to address this issue.</w:t>
            </w:r>
          </w:p>
        </w:tc>
        <w:tc>
          <w:tcPr>
            <w:tcW w:w="2229" w:type="dxa"/>
            <w:noWrap/>
            <w:hideMark/>
          </w:tcPr>
          <w:p w14:paraId="793C9DB2"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 xml:space="preserve">[Ericsson - Ignacio] This was already discussed and agreed the way forward upon RAN2#124. [CATT (Xiao)_v126] Not really. In last meeting, we only agreed that "We don’t send a LS to RAN1 on this 'at this meeting' ", and this was agreement was made to avoid disturbing WI completion with LS sent asking open issues. We disagree that RAN2 already closed the door to ask RAN1 to double </w:t>
            </w:r>
            <w:r w:rsidRPr="00E71BC9">
              <w:rPr>
                <w:rFonts w:ascii="Arial" w:eastAsia="Times New Roman" w:hAnsi="Arial" w:cs="Times New Roman"/>
                <w:sz w:val="20"/>
                <w:szCs w:val="20"/>
                <w:lang w:eastAsia="zh-CN"/>
              </w:rPr>
              <w:lastRenderedPageBreak/>
              <w:t>confirm the L1 parameters which was directly copied-pasted from cg-SDT without any RAN1 guruantees. The intention is to avoid finding erroneous parameters after ASN.1 freeze and we need then dummify them.</w:t>
            </w:r>
          </w:p>
        </w:tc>
      </w:tr>
      <w:tr w:rsidR="00E71BC9" w:rsidRPr="00E71BC9" w14:paraId="66F5B4E7" w14:textId="77777777" w:rsidTr="00E71BC9">
        <w:trPr>
          <w:trHeight w:val="300"/>
        </w:trPr>
        <w:tc>
          <w:tcPr>
            <w:tcW w:w="69" w:type="dxa"/>
            <w:noWrap/>
            <w:hideMark/>
          </w:tcPr>
          <w:p w14:paraId="6BF6C18E"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C605</w:t>
            </w:r>
          </w:p>
        </w:tc>
        <w:tc>
          <w:tcPr>
            <w:tcW w:w="198" w:type="dxa"/>
            <w:noWrap/>
            <w:hideMark/>
          </w:tcPr>
          <w:p w14:paraId="746C45B1"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CATT (Xiao)</w:t>
            </w:r>
          </w:p>
        </w:tc>
        <w:tc>
          <w:tcPr>
            <w:tcW w:w="179" w:type="dxa"/>
            <w:noWrap/>
            <w:hideMark/>
          </w:tcPr>
          <w:p w14:paraId="78BA80B9"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25E928ED"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7CD3DF57"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PropReject</w:t>
            </w:r>
          </w:p>
        </w:tc>
        <w:tc>
          <w:tcPr>
            <w:tcW w:w="2229" w:type="dxa"/>
            <w:noWrap/>
            <w:hideMark/>
          </w:tcPr>
          <w:p w14:paraId="672C053D"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We do not think this is an issue. In unchanged PCI, the timing of the cell does not change (it is still same cell served by the same gNB).</w:t>
            </w:r>
          </w:p>
        </w:tc>
        <w:tc>
          <w:tcPr>
            <w:tcW w:w="1987" w:type="dxa"/>
            <w:noWrap/>
            <w:hideMark/>
          </w:tcPr>
          <w:p w14:paraId="1ED1E016"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Ambiguity on epochTime included in the satSwitchWithReSync</w:t>
            </w:r>
          </w:p>
        </w:tc>
        <w:tc>
          <w:tcPr>
            <w:tcW w:w="2229" w:type="dxa"/>
            <w:noWrap/>
            <w:hideMark/>
          </w:tcPr>
          <w:p w14:paraId="748E672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 xml:space="preserve">Since the epochTime for serving cell in satSwitchWithReSync is provided by the source satellite but is actually used for the serving cell to be provided by the target satellite, it is not crystal clear whether the epochTime should follow the timing of the source or target satellite. It is proposed to clarify that the way of SFN determination specified here also applies to the epochTime included in satSwitchWithReSync (i.e. </w:t>
            </w:r>
            <w:r w:rsidRPr="00E71BC9">
              <w:rPr>
                <w:rFonts w:ascii="Arial" w:eastAsia="Times New Roman" w:hAnsi="Arial" w:cs="Times New Roman"/>
                <w:sz w:val="20"/>
                <w:szCs w:val="20"/>
                <w:lang w:eastAsia="zh-CN"/>
              </w:rPr>
              <w:lastRenderedPageBreak/>
              <w:t>based on when the message indicating the epochTime is received) with following change proposed: “For serving cell or if this field is included in satSwitchWithReSync, the field sfn indicates the current SFN or the next upcoming SFN after the frame where the message indicating the epochTime is received”</w:t>
            </w:r>
          </w:p>
        </w:tc>
        <w:tc>
          <w:tcPr>
            <w:tcW w:w="2229" w:type="dxa"/>
            <w:noWrap/>
            <w:hideMark/>
          </w:tcPr>
          <w:p w14:paraId="161962F3"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[Ericsson - Ignacio] We do not think this is an issue. In unchanged PCI, the timing of the cell does not change (it is still same cell served by the same gNB).</w:t>
            </w:r>
          </w:p>
        </w:tc>
      </w:tr>
      <w:tr w:rsidR="00E71BC9" w:rsidRPr="00E71BC9" w14:paraId="18C85547" w14:textId="77777777" w:rsidTr="00E71BC9">
        <w:trPr>
          <w:trHeight w:val="300"/>
        </w:trPr>
        <w:tc>
          <w:tcPr>
            <w:tcW w:w="69" w:type="dxa"/>
            <w:noWrap/>
            <w:hideMark/>
          </w:tcPr>
          <w:p w14:paraId="7B29FDB2"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C606</w:t>
            </w:r>
          </w:p>
        </w:tc>
        <w:tc>
          <w:tcPr>
            <w:tcW w:w="198" w:type="dxa"/>
            <w:noWrap/>
            <w:hideMark/>
          </w:tcPr>
          <w:p w14:paraId="14F69891"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CATT (Xiao)</w:t>
            </w:r>
          </w:p>
        </w:tc>
        <w:tc>
          <w:tcPr>
            <w:tcW w:w="179" w:type="dxa"/>
            <w:noWrap/>
            <w:hideMark/>
          </w:tcPr>
          <w:p w14:paraId="5347B2BD"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00A0E21E"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2</w:t>
            </w:r>
          </w:p>
        </w:tc>
        <w:tc>
          <w:tcPr>
            <w:tcW w:w="172" w:type="dxa"/>
            <w:shd w:val="clear" w:color="auto" w:fill="E2EFD9" w:themeFill="accent6" w:themeFillTint="33"/>
            <w:noWrap/>
            <w:hideMark/>
          </w:tcPr>
          <w:p w14:paraId="370F4A21"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ToDo</w:t>
            </w:r>
          </w:p>
        </w:tc>
        <w:tc>
          <w:tcPr>
            <w:tcW w:w="2229" w:type="dxa"/>
            <w:noWrap/>
            <w:hideMark/>
          </w:tcPr>
          <w:p w14:paraId="609B946D"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Different solutions for the issue have been proposed in the reflector. Thanks to CATT for facilitating the discussion.</w:t>
            </w:r>
          </w:p>
        </w:tc>
        <w:tc>
          <w:tcPr>
            <w:tcW w:w="1987" w:type="dxa"/>
            <w:noWrap/>
            <w:hideMark/>
          </w:tcPr>
          <w:p w14:paraId="4B9A06FE"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Missing these two fields in ntn-Config for neighbour cells in SIB19 (thus unable to support the agreement to use ephemeris/epochTime in SIB19 for EMC CHO)</w:t>
            </w:r>
          </w:p>
        </w:tc>
        <w:tc>
          <w:tcPr>
            <w:tcW w:w="4458" w:type="dxa"/>
            <w:gridSpan w:val="2"/>
            <w:noWrap/>
            <w:hideMark/>
          </w:tcPr>
          <w:p w14:paraId="6F0B1F9A"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There was the below agreement that allows the UE to use ephemeris/epochTime of the corresponding neighbour cell in SIB19 to evaluate CondEventD2.  4. If ephemeris and epochTime information for candidate CHO cell is not provided in RRC Reconfiguration, the UE may use the corresponding neighbour information from SIB19. However, in this case, the condEventD2 evaluation procedure currently specified in 5.5.4.15a still relies on the referenceLocation2 in reportConfigNR to calculate the candidate cell’s moving reference location. This is techinically infeasible, because the NW does not know when the UE actually acquires the epochTime in SIB19, thus unable to set an associated referenceLocation2 value in dedicated signalling.To support the above agreement, movingReferenceLocation also needs to be introduced into the ntn-Config in ntn-Config for neighbour cells in SIB19.  We will bring a contribution to address this issue.</w:t>
            </w:r>
          </w:p>
        </w:tc>
      </w:tr>
      <w:tr w:rsidR="00E71BC9" w:rsidRPr="00E71BC9" w14:paraId="7C154CFA" w14:textId="77777777" w:rsidTr="00E71BC9">
        <w:trPr>
          <w:trHeight w:val="300"/>
        </w:trPr>
        <w:tc>
          <w:tcPr>
            <w:tcW w:w="69" w:type="dxa"/>
            <w:noWrap/>
            <w:hideMark/>
          </w:tcPr>
          <w:p w14:paraId="587C41DC"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C617</w:t>
            </w:r>
          </w:p>
        </w:tc>
        <w:tc>
          <w:tcPr>
            <w:tcW w:w="198" w:type="dxa"/>
            <w:noWrap/>
            <w:hideMark/>
          </w:tcPr>
          <w:p w14:paraId="31F77030"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CATT (Xiao)</w:t>
            </w:r>
          </w:p>
        </w:tc>
        <w:tc>
          <w:tcPr>
            <w:tcW w:w="179" w:type="dxa"/>
            <w:noWrap/>
            <w:hideMark/>
          </w:tcPr>
          <w:p w14:paraId="7C979E0D"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5F9756E6"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4BEDB143"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PropAgree</w:t>
            </w:r>
          </w:p>
        </w:tc>
        <w:tc>
          <w:tcPr>
            <w:tcW w:w="2229" w:type="dxa"/>
            <w:noWrap/>
            <w:hideMark/>
          </w:tcPr>
          <w:p w14:paraId="78B62CE8"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Ericsson agrees. It will be addressed in WI Rapp CR.</w:t>
            </w:r>
          </w:p>
        </w:tc>
        <w:tc>
          <w:tcPr>
            <w:tcW w:w="1987" w:type="dxa"/>
            <w:noWrap/>
            <w:hideMark/>
          </w:tcPr>
          <w:p w14:paraId="7FE5AAC0"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 xml:space="preserve">Unclear validity duration in case this field is absent in ntn-Config in </w:t>
            </w:r>
            <w:r w:rsidRPr="00E71BC9">
              <w:rPr>
                <w:rFonts w:ascii="Arial" w:eastAsia="Times New Roman" w:hAnsi="Arial" w:cs="Times New Roman"/>
                <w:sz w:val="20"/>
                <w:szCs w:val="20"/>
                <w:lang w:eastAsia="zh-CN"/>
              </w:rPr>
              <w:lastRenderedPageBreak/>
              <w:t>SatSwitchWithReSync.</w:t>
            </w:r>
          </w:p>
        </w:tc>
        <w:tc>
          <w:tcPr>
            <w:tcW w:w="2229" w:type="dxa"/>
            <w:noWrap/>
            <w:hideMark/>
          </w:tcPr>
          <w:p w14:paraId="28D48C4D"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 xml:space="preserve">Now the specification only clarifies what if the validity duration of a neighbour cell is not configured (using that of the serving cell). However, in unchanged PCI case, what if the </w:t>
            </w:r>
            <w:r w:rsidRPr="00E71BC9">
              <w:rPr>
                <w:rFonts w:ascii="Arial" w:eastAsia="Times New Roman" w:hAnsi="Arial" w:cs="Times New Roman"/>
                <w:sz w:val="20"/>
                <w:szCs w:val="20"/>
                <w:lang w:eastAsia="zh-CN"/>
              </w:rPr>
              <w:lastRenderedPageBreak/>
              <w:t>validity duration is not configured for the target satellite in SatSwitchWithReSync (which does not belong to the neighbour cell case) is not unclear. We think in this case the UE can still follow the validity duration from the serving cell provided by the current source satellite. So it is proposed to make the below change for clarification: If this field is absent in ntn-Config provided via NTN-NeighCellConfig or provided via satSwitchWithReSync, the UE uses validity duration from the serving cell assistance information</w:t>
            </w:r>
          </w:p>
        </w:tc>
        <w:tc>
          <w:tcPr>
            <w:tcW w:w="2229" w:type="dxa"/>
            <w:noWrap/>
            <w:hideMark/>
          </w:tcPr>
          <w:p w14:paraId="7D1725E2"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[Ericsson - Ignacio] Ericsson agrees. It will be addressed in WI Rapp CR.</w:t>
            </w:r>
          </w:p>
        </w:tc>
      </w:tr>
      <w:tr w:rsidR="00E71BC9" w:rsidRPr="00E71BC9" w14:paraId="21A128B1" w14:textId="77777777" w:rsidTr="00E71BC9">
        <w:trPr>
          <w:trHeight w:val="300"/>
        </w:trPr>
        <w:tc>
          <w:tcPr>
            <w:tcW w:w="69" w:type="dxa"/>
            <w:noWrap/>
            <w:hideMark/>
          </w:tcPr>
          <w:p w14:paraId="58371904"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C618</w:t>
            </w:r>
          </w:p>
        </w:tc>
        <w:tc>
          <w:tcPr>
            <w:tcW w:w="198" w:type="dxa"/>
            <w:noWrap/>
            <w:hideMark/>
          </w:tcPr>
          <w:p w14:paraId="54C79494"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CATT (Xiao)</w:t>
            </w:r>
          </w:p>
        </w:tc>
        <w:tc>
          <w:tcPr>
            <w:tcW w:w="179" w:type="dxa"/>
            <w:noWrap/>
            <w:hideMark/>
          </w:tcPr>
          <w:p w14:paraId="079BE1B6"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022EC4D5"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5741DE51"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PropReject</w:t>
            </w:r>
          </w:p>
        </w:tc>
        <w:tc>
          <w:tcPr>
            <w:tcW w:w="2229" w:type="dxa"/>
            <w:noWrap/>
            <w:hideMark/>
          </w:tcPr>
          <w:p w14:paraId="14FAB973"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The text is an exact copy from SIB19 acquisition. We wonder why the behaviour would be different in both cases.</w:t>
            </w:r>
          </w:p>
        </w:tc>
        <w:tc>
          <w:tcPr>
            <w:tcW w:w="1987" w:type="dxa"/>
            <w:noWrap/>
            <w:hideMark/>
          </w:tcPr>
          <w:p w14:paraId="71A92A18"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Lack of the prerequisite of this operation.</w:t>
            </w:r>
          </w:p>
        </w:tc>
        <w:tc>
          <w:tcPr>
            <w:tcW w:w="2229" w:type="dxa"/>
            <w:noWrap/>
            <w:hideMark/>
          </w:tcPr>
          <w:p w14:paraId="01C0D934"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The UE only needs to start T430 upon the acquisition of the target satellite DL sync. So propose to add ‘Upon successful acquisition of DL synchronization’ at the very beginning of this sentence.</w:t>
            </w:r>
          </w:p>
        </w:tc>
        <w:tc>
          <w:tcPr>
            <w:tcW w:w="2229" w:type="dxa"/>
            <w:noWrap/>
            <w:hideMark/>
          </w:tcPr>
          <w:p w14:paraId="5E594461"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The text is an exact copy from SIB19 acquisition. We wonder why the behaviour would be different in both cases.</w:t>
            </w:r>
          </w:p>
        </w:tc>
      </w:tr>
      <w:tr w:rsidR="00E71BC9" w:rsidRPr="00E71BC9" w14:paraId="1082F8A4" w14:textId="77777777" w:rsidTr="00E71BC9">
        <w:trPr>
          <w:trHeight w:val="300"/>
        </w:trPr>
        <w:tc>
          <w:tcPr>
            <w:tcW w:w="69" w:type="dxa"/>
            <w:noWrap/>
            <w:hideMark/>
          </w:tcPr>
          <w:p w14:paraId="3EA2C48D"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C619</w:t>
            </w:r>
          </w:p>
        </w:tc>
        <w:tc>
          <w:tcPr>
            <w:tcW w:w="198" w:type="dxa"/>
            <w:noWrap/>
            <w:hideMark/>
          </w:tcPr>
          <w:p w14:paraId="055B1C2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CATT (Xiao)</w:t>
            </w:r>
          </w:p>
        </w:tc>
        <w:tc>
          <w:tcPr>
            <w:tcW w:w="179" w:type="dxa"/>
            <w:noWrap/>
            <w:hideMark/>
          </w:tcPr>
          <w:p w14:paraId="1354EB14"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3BCB13FD"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2</w:t>
            </w:r>
          </w:p>
        </w:tc>
        <w:tc>
          <w:tcPr>
            <w:tcW w:w="172" w:type="dxa"/>
            <w:shd w:val="clear" w:color="auto" w:fill="E2EFD9" w:themeFill="accent6" w:themeFillTint="33"/>
            <w:noWrap/>
            <w:hideMark/>
          </w:tcPr>
          <w:p w14:paraId="78CAB3D0"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PropReject</w:t>
            </w:r>
          </w:p>
        </w:tc>
        <w:tc>
          <w:tcPr>
            <w:tcW w:w="2229" w:type="dxa"/>
            <w:noWrap/>
            <w:hideMark/>
          </w:tcPr>
          <w:p w14:paraId="136129C7"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 xml:space="preserve">[Ericsson - Ignacio] We disagree a contribution is needed as it was discussed during RAN2#124. UE already has ephemeris info and epochtTime from serving satellite. </w:t>
            </w:r>
            <w:r w:rsidRPr="00E71BC9">
              <w:rPr>
                <w:rFonts w:ascii="Arial" w:eastAsia="Times New Roman" w:hAnsi="Arial" w:cs="Times New Roman"/>
                <w:sz w:val="20"/>
                <w:szCs w:val="20"/>
                <w:lang w:eastAsia="zh-CN"/>
              </w:rPr>
              <w:lastRenderedPageBreak/>
              <w:t>Otherwise, RRC connection would not be possible.</w:t>
            </w:r>
          </w:p>
        </w:tc>
        <w:tc>
          <w:tcPr>
            <w:tcW w:w="1987" w:type="dxa"/>
            <w:noWrap/>
            <w:hideMark/>
          </w:tcPr>
          <w:p w14:paraId="118C6A79"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Missing serving cell ephemeris and epochTime information for condEventD2</w:t>
            </w:r>
          </w:p>
        </w:tc>
        <w:tc>
          <w:tcPr>
            <w:tcW w:w="2229" w:type="dxa"/>
            <w:noWrap/>
            <w:hideMark/>
          </w:tcPr>
          <w:p w14:paraId="52DD59C1"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 xml:space="preserve">Only the ephemeris and epochTime are specified here for the candidate target cell of condEventD2, but there has been no ephemeris and epochTime information currently introduced also for serving cell. There seems to have been no clear agreement on how the UE </w:t>
            </w:r>
            <w:r w:rsidRPr="00E71BC9">
              <w:rPr>
                <w:rFonts w:ascii="Arial" w:eastAsia="Times New Roman" w:hAnsi="Arial" w:cs="Times New Roman"/>
                <w:sz w:val="20"/>
                <w:szCs w:val="20"/>
                <w:lang w:eastAsia="zh-CN"/>
              </w:rPr>
              <w:lastRenderedPageBreak/>
              <w:t>calculates the distance with the serving cell for condEventD2 and whether new signaling for serving cell’s ephemeris/epochTime is also needed. Considering that the serving cell’s ephemeris and epochTime is anyway provided in SIB19, there could be two options to address this issue: Option 1: Rely always on the ephemeris and epochTime, also the associated movingReferenceLocation, in SIB19, and remove the referenceLocation1 in condEventD2.  Option 2: Introduce also ephemeris and epochTime in dedicated signaling used for condEventD2, and change referencLocation1 in condEventD2 to OPTIONAL. We will bring a contribution to address this issue.</w:t>
            </w:r>
          </w:p>
        </w:tc>
        <w:tc>
          <w:tcPr>
            <w:tcW w:w="2229" w:type="dxa"/>
            <w:noWrap/>
            <w:hideMark/>
          </w:tcPr>
          <w:p w14:paraId="10C92AFD"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 xml:space="preserve">[Ericsson - Ignacio] We think this was already discussed during RAN2#124. UE already has ephemeris info and epochTime from serving satellite. Otherwise, RRC </w:t>
            </w:r>
            <w:r w:rsidRPr="00E71BC9">
              <w:rPr>
                <w:rFonts w:ascii="Arial" w:eastAsia="Times New Roman" w:hAnsi="Arial" w:cs="Times New Roman"/>
                <w:sz w:val="20"/>
                <w:szCs w:val="20"/>
                <w:lang w:eastAsia="zh-CN"/>
              </w:rPr>
              <w:lastRenderedPageBreak/>
              <w:t>connection would not be possible. [CATT (Xiao)_v167] If one assumes relying on ephemeris info and epochTime in SIB19, the procedure for condEventD2 evaluation needs to clarify this. Also, it is technically infeasible to rely on the ephemeris info and epochTime in SIB19, and at the same time rely on the referenLocation1 in condEventD2. We will elaborate this problem, along with C606, in a contribution.</w:t>
            </w:r>
          </w:p>
        </w:tc>
      </w:tr>
      <w:tr w:rsidR="00E71BC9" w:rsidRPr="00E71BC9" w14:paraId="54DFA5D6" w14:textId="77777777" w:rsidTr="00E71BC9">
        <w:trPr>
          <w:trHeight w:val="300"/>
        </w:trPr>
        <w:tc>
          <w:tcPr>
            <w:tcW w:w="69" w:type="dxa"/>
            <w:noWrap/>
            <w:hideMark/>
          </w:tcPr>
          <w:p w14:paraId="0B895F0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C620</w:t>
            </w:r>
          </w:p>
        </w:tc>
        <w:tc>
          <w:tcPr>
            <w:tcW w:w="198" w:type="dxa"/>
            <w:noWrap/>
            <w:hideMark/>
          </w:tcPr>
          <w:p w14:paraId="30106DC2"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CATT (Xiao)</w:t>
            </w:r>
          </w:p>
        </w:tc>
        <w:tc>
          <w:tcPr>
            <w:tcW w:w="179" w:type="dxa"/>
            <w:noWrap/>
            <w:hideMark/>
          </w:tcPr>
          <w:p w14:paraId="014F84D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GEN, NTN</w:t>
            </w:r>
          </w:p>
        </w:tc>
        <w:tc>
          <w:tcPr>
            <w:tcW w:w="68" w:type="dxa"/>
            <w:noWrap/>
            <w:hideMark/>
          </w:tcPr>
          <w:p w14:paraId="62A906D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2</w:t>
            </w:r>
          </w:p>
        </w:tc>
        <w:tc>
          <w:tcPr>
            <w:tcW w:w="172" w:type="dxa"/>
            <w:shd w:val="clear" w:color="auto" w:fill="E2EFD9" w:themeFill="accent6" w:themeFillTint="33"/>
            <w:noWrap/>
            <w:hideMark/>
          </w:tcPr>
          <w:p w14:paraId="09798B22"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PropReject</w:t>
            </w:r>
          </w:p>
        </w:tc>
        <w:tc>
          <w:tcPr>
            <w:tcW w:w="2229" w:type="dxa"/>
            <w:noWrap/>
            <w:hideMark/>
          </w:tcPr>
          <w:p w14:paraId="16DB486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Same view as Qualcomm. As discussed during previous meetings, this approach gives flexibility to the network to adjust the order of frequencies in SIB4/5 without the need to update SIB25.</w:t>
            </w:r>
          </w:p>
        </w:tc>
        <w:tc>
          <w:tcPr>
            <w:tcW w:w="1987" w:type="dxa"/>
            <w:noWrap/>
            <w:hideMark/>
          </w:tcPr>
          <w:p w14:paraId="75767CD3"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Inappropriate explicit ID introduced in the full list in system information</w:t>
            </w:r>
          </w:p>
        </w:tc>
        <w:tc>
          <w:tcPr>
            <w:tcW w:w="2229" w:type="dxa"/>
            <w:noWrap/>
            <w:hideMark/>
          </w:tcPr>
          <w:p w14:paraId="5D9F94D3"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 xml:space="preserve">This tn-AreaID-r18 is useless and should be removed. The reason is that the CoverageAreaInfoList is a full list included in SIB, and the identification of a entry in a full list should have been done by referring to the position of that entry in the full list, instead of relying on an explicit ID assigned for such identification which </w:t>
            </w:r>
            <w:r w:rsidRPr="00E71BC9">
              <w:rPr>
                <w:rFonts w:ascii="Arial" w:eastAsia="Times New Roman" w:hAnsi="Arial" w:cs="Times New Roman"/>
                <w:sz w:val="20"/>
                <w:szCs w:val="20"/>
                <w:lang w:eastAsia="zh-CN"/>
              </w:rPr>
              <w:lastRenderedPageBreak/>
              <w:t>causes unnecessary signalling overhead. Therefore, this field needs to be deleted, and the reference to TN area configuration in this list in SIB4/5 should be modified based on the entry position. It is thus proposed to remove this field and the corresponding IE “TN-AreaId-r18”, and add the field description to “tn-AreaIdList-r18” in SIB4/5 as follows: “Indicates the TN areas associated with the frequency. Each TN-AreaId value indicates the entry of the associated TN area configuration in the tn-AreaList-r18 in SIB25, i.e. value 1 refers to the TN area configured of the 1st entry, value 2 refers to the 2nd entry and so on.”</w:t>
            </w:r>
          </w:p>
        </w:tc>
        <w:tc>
          <w:tcPr>
            <w:tcW w:w="2229" w:type="dxa"/>
            <w:noWrap/>
            <w:hideMark/>
          </w:tcPr>
          <w:p w14:paraId="4E1D4B54"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 xml:space="preserve">[QC v084] Disagree. It is to make robust to the change of the order of the list. [CATT v087] No strong view, but there seemed few cases in legacy that explicit ID is specifically introduced for the indexing purpose </w:t>
            </w:r>
            <w:r w:rsidRPr="00E71BC9">
              <w:rPr>
                <w:rFonts w:ascii="Arial" w:eastAsia="Times New Roman" w:hAnsi="Arial" w:cs="Times New Roman"/>
                <w:sz w:val="20"/>
                <w:szCs w:val="20"/>
                <w:lang w:eastAsia="zh-CN"/>
              </w:rPr>
              <w:lastRenderedPageBreak/>
              <w:t>towards a full list in SIB. So not sure why it turns out to be essential here to have to introduce an explicit ID for this TN list. Also, not sure how to index to a full list in SIB from this release on, if we start to use the explicit-ID manner here. [Ericsson - Ignacio] Same view as Qualcomm. As discussed during previous meetings, this approach gives flexibility to the network to adjust the order of frequencies in SIB4/5 without the need to update SIB25. [CATT (Xiao)_v126] But why cannot the case raised by Ericsson be supported by referring directly to the entry position in the full list, but having to rely on an explicit ID?</w:t>
            </w:r>
          </w:p>
        </w:tc>
      </w:tr>
      <w:tr w:rsidR="00E71BC9" w:rsidRPr="00E71BC9" w14:paraId="38647075" w14:textId="77777777" w:rsidTr="00E71BC9">
        <w:trPr>
          <w:trHeight w:val="300"/>
        </w:trPr>
        <w:tc>
          <w:tcPr>
            <w:tcW w:w="69" w:type="dxa"/>
            <w:noWrap/>
            <w:hideMark/>
          </w:tcPr>
          <w:p w14:paraId="22E9F828"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C622</w:t>
            </w:r>
          </w:p>
        </w:tc>
        <w:tc>
          <w:tcPr>
            <w:tcW w:w="198" w:type="dxa"/>
            <w:noWrap/>
            <w:hideMark/>
          </w:tcPr>
          <w:p w14:paraId="04E1E236"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CATT (Xiao)</w:t>
            </w:r>
          </w:p>
        </w:tc>
        <w:tc>
          <w:tcPr>
            <w:tcW w:w="179" w:type="dxa"/>
            <w:noWrap/>
            <w:hideMark/>
          </w:tcPr>
          <w:p w14:paraId="68AFF6A0"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41953D21"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2</w:t>
            </w:r>
          </w:p>
        </w:tc>
        <w:tc>
          <w:tcPr>
            <w:tcW w:w="172" w:type="dxa"/>
            <w:shd w:val="clear" w:color="auto" w:fill="E2EFD9" w:themeFill="accent6" w:themeFillTint="33"/>
            <w:noWrap/>
            <w:hideMark/>
          </w:tcPr>
          <w:p w14:paraId="1556EF23"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PropReject</w:t>
            </w:r>
          </w:p>
        </w:tc>
        <w:tc>
          <w:tcPr>
            <w:tcW w:w="2229" w:type="dxa"/>
            <w:noWrap/>
            <w:hideMark/>
          </w:tcPr>
          <w:p w14:paraId="4320C484"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 xml:space="preserve">[Ericsson - Ignacio] We disagree the value </w:t>
            </w:r>
            <w:r w:rsidRPr="00E71BC9">
              <w:rPr>
                <w:rFonts w:ascii="Arial" w:eastAsia="Times New Roman" w:hAnsi="Arial" w:cs="Times New Roman"/>
                <w:sz w:val="20"/>
                <w:szCs w:val="20"/>
                <w:lang w:eastAsia="zh-CN"/>
              </w:rPr>
              <w:lastRenderedPageBreak/>
              <w:t>needs to be extended. Given it is provided in multiples of periodicity, network can configure appropiate values.</w:t>
            </w:r>
          </w:p>
        </w:tc>
        <w:tc>
          <w:tcPr>
            <w:tcW w:w="1987" w:type="dxa"/>
            <w:noWrap/>
            <w:hideMark/>
          </w:tcPr>
          <w:p w14:paraId="5B1FDBA3"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 xml:space="preserve">Incorrect RAN2 specific parameters </w:t>
            </w:r>
            <w:r w:rsidRPr="00E71BC9">
              <w:rPr>
                <w:rFonts w:ascii="Arial" w:eastAsia="Times New Roman" w:hAnsi="Arial" w:cs="Times New Roman"/>
                <w:sz w:val="20"/>
                <w:szCs w:val="20"/>
                <w:lang w:eastAsia="zh-CN"/>
              </w:rPr>
              <w:lastRenderedPageBreak/>
              <w:t>for CG RACH less HO in NTN.</w:t>
            </w:r>
          </w:p>
        </w:tc>
        <w:tc>
          <w:tcPr>
            <w:tcW w:w="2229" w:type="dxa"/>
            <w:noWrap/>
            <w:hideMark/>
          </w:tcPr>
          <w:p w14:paraId="7039D454"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Due to the long UE-gNB RTT, the value range of ntn-cg-RACH-</w:t>
            </w:r>
            <w:r w:rsidRPr="00E71BC9">
              <w:rPr>
                <w:rFonts w:ascii="Arial" w:eastAsia="Times New Roman" w:hAnsi="Arial" w:cs="Times New Roman"/>
                <w:sz w:val="20"/>
                <w:szCs w:val="20"/>
                <w:lang w:eastAsia="zh-CN"/>
              </w:rPr>
              <w:lastRenderedPageBreak/>
              <w:t>less-RetransmissionTimer should be enlarged, not possibily directly reusing the value range of cg-SDT-RetransmissionTimer as currently specified. Also, there are some RAN2 specific parameters in rrc-UplinkConfiguredGrant that, like in CG-SDT, are not applicable to RACH-less HO and thus need to have some clarification in the field description as CG-SDT. We will bring a contribution to address this issue.</w:t>
            </w:r>
          </w:p>
        </w:tc>
        <w:tc>
          <w:tcPr>
            <w:tcW w:w="2229" w:type="dxa"/>
            <w:noWrap/>
            <w:hideMark/>
          </w:tcPr>
          <w:p w14:paraId="75938BBB"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 xml:space="preserve">[Ericsson - Ignacio] We disagree the </w:t>
            </w:r>
            <w:r w:rsidRPr="00E71BC9">
              <w:rPr>
                <w:rFonts w:ascii="Arial" w:eastAsia="Times New Roman" w:hAnsi="Arial" w:cs="Times New Roman"/>
                <w:sz w:val="20"/>
                <w:szCs w:val="20"/>
                <w:lang w:eastAsia="zh-CN"/>
              </w:rPr>
              <w:lastRenderedPageBreak/>
              <w:t>value needs to be extended. Given it is provided in multiples of periodicity, network can configure appropiate values.</w:t>
            </w:r>
          </w:p>
        </w:tc>
      </w:tr>
      <w:tr w:rsidR="00E71BC9" w:rsidRPr="00E71BC9" w14:paraId="252AD3C9" w14:textId="77777777" w:rsidTr="00E71BC9">
        <w:trPr>
          <w:trHeight w:val="300"/>
        </w:trPr>
        <w:tc>
          <w:tcPr>
            <w:tcW w:w="69" w:type="dxa"/>
            <w:noWrap/>
            <w:hideMark/>
          </w:tcPr>
          <w:p w14:paraId="003B0529"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C623</w:t>
            </w:r>
          </w:p>
        </w:tc>
        <w:tc>
          <w:tcPr>
            <w:tcW w:w="198" w:type="dxa"/>
            <w:noWrap/>
            <w:hideMark/>
          </w:tcPr>
          <w:p w14:paraId="7341A266"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CATT (Xiao)</w:t>
            </w:r>
          </w:p>
        </w:tc>
        <w:tc>
          <w:tcPr>
            <w:tcW w:w="179" w:type="dxa"/>
            <w:noWrap/>
            <w:hideMark/>
          </w:tcPr>
          <w:p w14:paraId="38001F37"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77BA4217"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3F8666A4"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PropAgree</w:t>
            </w:r>
          </w:p>
        </w:tc>
        <w:tc>
          <w:tcPr>
            <w:tcW w:w="2229" w:type="dxa"/>
            <w:noWrap/>
            <w:hideMark/>
          </w:tcPr>
          <w:p w14:paraId="221C65D7"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Ericsson agrees. It will be addressed in WI Rapp CR.</w:t>
            </w:r>
          </w:p>
        </w:tc>
        <w:tc>
          <w:tcPr>
            <w:tcW w:w="1987" w:type="dxa"/>
            <w:noWrap/>
            <w:hideMark/>
          </w:tcPr>
          <w:p w14:paraId="367BAECA"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Missing timing reference used for the epochTime here</w:t>
            </w:r>
          </w:p>
        </w:tc>
        <w:tc>
          <w:tcPr>
            <w:tcW w:w="2229" w:type="dxa"/>
            <w:noWrap/>
            <w:hideMark/>
          </w:tcPr>
          <w:p w14:paraId="41ED5260"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It is necessary to clarify what timing reference is used for the epochTime used here. So a field description needs to be added for the epochTime as follows (following a similar case described for the epochTime in ntn-Config):  “Indicate the epoch time for the corresponding neighbour cell. The field sfn indicates the current SFN or the next upcoming SFN after the frame where the message indicating the epochTime is received.”</w:t>
            </w:r>
          </w:p>
        </w:tc>
        <w:tc>
          <w:tcPr>
            <w:tcW w:w="2229" w:type="dxa"/>
            <w:noWrap/>
            <w:hideMark/>
          </w:tcPr>
          <w:p w14:paraId="487E024B"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Ericsson agrees. It will be addressed in WI Rapp CR.</w:t>
            </w:r>
          </w:p>
        </w:tc>
      </w:tr>
      <w:tr w:rsidR="00E71BC9" w:rsidRPr="00E71BC9" w14:paraId="6D032014" w14:textId="77777777" w:rsidTr="00E71BC9">
        <w:trPr>
          <w:trHeight w:val="300"/>
        </w:trPr>
        <w:tc>
          <w:tcPr>
            <w:tcW w:w="69" w:type="dxa"/>
            <w:noWrap/>
            <w:hideMark/>
          </w:tcPr>
          <w:p w14:paraId="770B8601"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H001</w:t>
            </w:r>
          </w:p>
        </w:tc>
        <w:tc>
          <w:tcPr>
            <w:tcW w:w="198" w:type="dxa"/>
            <w:noWrap/>
            <w:hideMark/>
          </w:tcPr>
          <w:p w14:paraId="1020D937"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Huawei (Lili)</w:t>
            </w:r>
          </w:p>
        </w:tc>
        <w:tc>
          <w:tcPr>
            <w:tcW w:w="179" w:type="dxa"/>
            <w:noWrap/>
            <w:hideMark/>
          </w:tcPr>
          <w:p w14:paraId="5739C867"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5ECA04D0"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072780E6"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ToDo</w:t>
            </w:r>
          </w:p>
        </w:tc>
        <w:tc>
          <w:tcPr>
            <w:tcW w:w="2229" w:type="dxa"/>
            <w:noWrap/>
            <w:hideMark/>
          </w:tcPr>
          <w:p w14:paraId="1188A929"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 xml:space="preserve">[Ericsson - Ignacio] We agree that the start and end of the unchanged PCI switch should be better defined. It needs to be </w:t>
            </w:r>
            <w:r w:rsidRPr="00E71BC9">
              <w:rPr>
                <w:rFonts w:ascii="Arial" w:eastAsia="Times New Roman" w:hAnsi="Arial" w:cs="Times New Roman"/>
                <w:sz w:val="20"/>
                <w:szCs w:val="20"/>
                <w:lang w:eastAsia="zh-CN"/>
              </w:rPr>
              <w:lastRenderedPageBreak/>
              <w:t>further discussed online.</w:t>
            </w:r>
          </w:p>
        </w:tc>
        <w:tc>
          <w:tcPr>
            <w:tcW w:w="1987" w:type="dxa"/>
            <w:noWrap/>
            <w:hideMark/>
          </w:tcPr>
          <w:p w14:paraId="42CE46D0"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 xml:space="preserve">UE should switch to new satellite upon t-Service, rather than leaving the NW </w:t>
            </w:r>
            <w:r w:rsidRPr="00E71BC9">
              <w:rPr>
                <w:rFonts w:ascii="Arial" w:eastAsia="Times New Roman" w:hAnsi="Arial" w:cs="Times New Roman"/>
                <w:sz w:val="20"/>
                <w:szCs w:val="20"/>
                <w:lang w:eastAsia="zh-CN"/>
              </w:rPr>
              <w:lastRenderedPageBreak/>
              <w:t>unaware of the exact switching time</w:t>
            </w:r>
          </w:p>
        </w:tc>
        <w:tc>
          <w:tcPr>
            <w:tcW w:w="2229" w:type="dxa"/>
            <w:noWrap/>
            <w:hideMark/>
          </w:tcPr>
          <w:p w14:paraId="7E7F66E3"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 xml:space="preserve">If the network does not know when the UE switches to the target satellite, the target satellite does not know when to start scheduling the UE, either too early (wasting resources) or too </w:t>
            </w:r>
            <w:r w:rsidRPr="00E71BC9">
              <w:rPr>
                <w:rFonts w:ascii="Arial" w:eastAsia="Times New Roman" w:hAnsi="Arial" w:cs="Times New Roman"/>
                <w:sz w:val="20"/>
                <w:szCs w:val="20"/>
                <w:lang w:eastAsia="zh-CN"/>
              </w:rPr>
              <w:lastRenderedPageBreak/>
              <w:t>late (degrading performance). Before t-Service, the UE can remain connected with source satellite, there is no extra benefit if the UE switches to target satellite earlier (start synchronizing in advance is ok, because it may reduce switching time)  Solution: perform the satellite switch with resynchronization as specified in 5.7.19 between the time indicated by t-ServiceStart and at the time indicated by t-Service for the serving cell</w:t>
            </w:r>
          </w:p>
        </w:tc>
        <w:tc>
          <w:tcPr>
            <w:tcW w:w="2229" w:type="dxa"/>
            <w:noWrap/>
            <w:hideMark/>
          </w:tcPr>
          <w:p w14:paraId="789AFDA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 xml:space="preserve">[Ericsson - Ignacio] We agree that the start and end of the unchanged PCI switch should be better defined. It </w:t>
            </w:r>
            <w:r w:rsidRPr="00E71BC9">
              <w:rPr>
                <w:rFonts w:ascii="Arial" w:eastAsia="Times New Roman" w:hAnsi="Arial" w:cs="Times New Roman"/>
                <w:sz w:val="20"/>
                <w:szCs w:val="20"/>
                <w:lang w:eastAsia="zh-CN"/>
              </w:rPr>
              <w:lastRenderedPageBreak/>
              <w:t>needs to be further discussed online.</w:t>
            </w:r>
          </w:p>
        </w:tc>
      </w:tr>
      <w:tr w:rsidR="00E71BC9" w:rsidRPr="00E71BC9" w14:paraId="308A19CF" w14:textId="77777777" w:rsidTr="00E71BC9">
        <w:trPr>
          <w:trHeight w:val="300"/>
        </w:trPr>
        <w:tc>
          <w:tcPr>
            <w:tcW w:w="69" w:type="dxa"/>
            <w:noWrap/>
            <w:hideMark/>
          </w:tcPr>
          <w:p w14:paraId="2BF282B2"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H002</w:t>
            </w:r>
          </w:p>
        </w:tc>
        <w:tc>
          <w:tcPr>
            <w:tcW w:w="198" w:type="dxa"/>
            <w:noWrap/>
            <w:hideMark/>
          </w:tcPr>
          <w:p w14:paraId="118CC201"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Huawei (Lili)</w:t>
            </w:r>
          </w:p>
        </w:tc>
        <w:tc>
          <w:tcPr>
            <w:tcW w:w="179" w:type="dxa"/>
            <w:noWrap/>
            <w:hideMark/>
          </w:tcPr>
          <w:p w14:paraId="5FFB63F2"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4A3634F9"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1C9B0A2D"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PropReject</w:t>
            </w:r>
          </w:p>
        </w:tc>
        <w:tc>
          <w:tcPr>
            <w:tcW w:w="2229" w:type="dxa"/>
            <w:noWrap/>
            <w:hideMark/>
          </w:tcPr>
          <w:p w14:paraId="02E23266"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We agree with Qualcomm's comment</w:t>
            </w:r>
          </w:p>
        </w:tc>
        <w:tc>
          <w:tcPr>
            <w:tcW w:w="1987" w:type="dxa"/>
            <w:noWrap/>
            <w:hideMark/>
          </w:tcPr>
          <w:p w14:paraId="3AB4228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Redundant description, as there is already a conditional presence for cg-NTN-RACH-Less-Configuration</w:t>
            </w:r>
          </w:p>
        </w:tc>
        <w:tc>
          <w:tcPr>
            <w:tcW w:w="2229" w:type="dxa"/>
            <w:noWrap/>
            <w:hideMark/>
          </w:tcPr>
          <w:p w14:paraId="2B9EA7F0"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With the following conditional presence:  cg-NTN-RACH-Less-Configuration-r18 CG-NTN-RACH-Less-Configuration-r18 OPTIONAL -- Cond RACH-lessHO  RACHlessHO The field is optionally present, Need N, if rach-LessHO is present in reconfigurationWithSync. It is absent otherwise.  The sentence could be simplified to:  2&gt; if rach-LessHO was included in reconfigurationWithSync and cg-NTN-RACH-Less-Configuration was configured:</w:t>
            </w:r>
          </w:p>
        </w:tc>
        <w:tc>
          <w:tcPr>
            <w:tcW w:w="2229" w:type="dxa"/>
            <w:noWrap/>
            <w:hideMark/>
          </w:tcPr>
          <w:p w14:paraId="009D6075"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[QC v084] the reason of presence of this part we believe was to make it more clear. Otherwise "cg-NTN-RACH-Less-Configuration was configured" would always be true as it says "was" after handover.</w:t>
            </w:r>
          </w:p>
        </w:tc>
      </w:tr>
      <w:tr w:rsidR="00E71BC9" w:rsidRPr="00E71BC9" w14:paraId="09C7B7E6" w14:textId="77777777" w:rsidTr="00E71BC9">
        <w:trPr>
          <w:trHeight w:val="300"/>
        </w:trPr>
        <w:tc>
          <w:tcPr>
            <w:tcW w:w="69" w:type="dxa"/>
            <w:noWrap/>
            <w:hideMark/>
          </w:tcPr>
          <w:p w14:paraId="3D0CE19C"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H003</w:t>
            </w:r>
          </w:p>
        </w:tc>
        <w:tc>
          <w:tcPr>
            <w:tcW w:w="198" w:type="dxa"/>
            <w:noWrap/>
            <w:hideMark/>
          </w:tcPr>
          <w:p w14:paraId="3237E09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Huawei (Lili)</w:t>
            </w:r>
          </w:p>
        </w:tc>
        <w:tc>
          <w:tcPr>
            <w:tcW w:w="179" w:type="dxa"/>
            <w:noWrap/>
            <w:hideMark/>
          </w:tcPr>
          <w:p w14:paraId="24B105BC"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3635CC33"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48E77E45"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PropReject</w:t>
            </w:r>
          </w:p>
        </w:tc>
        <w:tc>
          <w:tcPr>
            <w:tcW w:w="2229" w:type="dxa"/>
            <w:noWrap/>
            <w:hideMark/>
          </w:tcPr>
          <w:p w14:paraId="73E3EA51"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 xml:space="preserve">[Ericsson - Ignacio] It was agreed that the CG grant needs to be explicitely released, thus this text. Note </w:t>
            </w:r>
            <w:r w:rsidRPr="00E71BC9">
              <w:rPr>
                <w:rFonts w:ascii="Arial" w:eastAsia="Times New Roman" w:hAnsi="Arial" w:cs="Times New Roman"/>
                <w:sz w:val="20"/>
                <w:szCs w:val="20"/>
                <w:lang w:eastAsia="zh-CN"/>
              </w:rPr>
              <w:lastRenderedPageBreak/>
              <w:t>that RACH-less configuration is Need N, so it will be release after 1 time use.</w:t>
            </w:r>
          </w:p>
        </w:tc>
        <w:tc>
          <w:tcPr>
            <w:tcW w:w="1987" w:type="dxa"/>
            <w:noWrap/>
            <w:hideMark/>
          </w:tcPr>
          <w:p w14:paraId="09A109A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the whole RACH-less config should be released</w:t>
            </w:r>
          </w:p>
        </w:tc>
        <w:tc>
          <w:tcPr>
            <w:tcW w:w="2229" w:type="dxa"/>
            <w:noWrap/>
            <w:hideMark/>
          </w:tcPr>
          <w:p w14:paraId="01FD338D"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release the uplink grant configured for RACH-less handover in cg-NTN-RACH-Less-Configuration;</w:t>
            </w:r>
          </w:p>
        </w:tc>
        <w:tc>
          <w:tcPr>
            <w:tcW w:w="2229" w:type="dxa"/>
            <w:noWrap/>
            <w:hideMark/>
          </w:tcPr>
          <w:p w14:paraId="69AF6BCE"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 xml:space="preserve">[Ericsson - Ignacio] It was agreed that the CG grant needs to be explicitely released, thus this text. Note </w:t>
            </w:r>
            <w:r w:rsidRPr="00E71BC9">
              <w:rPr>
                <w:rFonts w:ascii="Arial" w:eastAsia="Times New Roman" w:hAnsi="Arial" w:cs="Times New Roman"/>
                <w:sz w:val="20"/>
                <w:szCs w:val="20"/>
                <w:lang w:eastAsia="zh-CN"/>
              </w:rPr>
              <w:lastRenderedPageBreak/>
              <w:t>that RACH-less configuration is Need N, so it will be release after 1 time use.</w:t>
            </w:r>
          </w:p>
        </w:tc>
      </w:tr>
      <w:tr w:rsidR="00E71BC9" w:rsidRPr="00E71BC9" w14:paraId="67076E62" w14:textId="77777777" w:rsidTr="00E71BC9">
        <w:trPr>
          <w:trHeight w:val="300"/>
        </w:trPr>
        <w:tc>
          <w:tcPr>
            <w:tcW w:w="69" w:type="dxa"/>
            <w:noWrap/>
            <w:hideMark/>
          </w:tcPr>
          <w:p w14:paraId="4DE6B8E9"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H004</w:t>
            </w:r>
          </w:p>
        </w:tc>
        <w:tc>
          <w:tcPr>
            <w:tcW w:w="198" w:type="dxa"/>
            <w:noWrap/>
            <w:hideMark/>
          </w:tcPr>
          <w:p w14:paraId="2750B1FD"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Huawei (Lili)</w:t>
            </w:r>
          </w:p>
        </w:tc>
        <w:tc>
          <w:tcPr>
            <w:tcW w:w="179" w:type="dxa"/>
            <w:noWrap/>
            <w:hideMark/>
          </w:tcPr>
          <w:p w14:paraId="5DC90D9A"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051BACDC"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11C31438"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PropReject</w:t>
            </w:r>
          </w:p>
        </w:tc>
        <w:tc>
          <w:tcPr>
            <w:tcW w:w="2229" w:type="dxa"/>
            <w:noWrap/>
            <w:hideMark/>
          </w:tcPr>
          <w:p w14:paraId="03EB66D7"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Not needed. Note that there is not a measurement event trigger D2, but a conditional event trigger D2. The latter is only used for CHO and measurements are not reported.</w:t>
            </w:r>
          </w:p>
        </w:tc>
        <w:tc>
          <w:tcPr>
            <w:tcW w:w="1987" w:type="dxa"/>
            <w:noWrap/>
            <w:hideMark/>
          </w:tcPr>
          <w:p w14:paraId="78D4E5F2"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eventD2 should also be excluded</w:t>
            </w:r>
          </w:p>
        </w:tc>
        <w:tc>
          <w:tcPr>
            <w:tcW w:w="2229" w:type="dxa"/>
            <w:noWrap/>
            <w:hideMark/>
          </w:tcPr>
          <w:p w14:paraId="1A867CB0"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for measurement events other than eventA1, eventA2, eventD1, eventD2, eventX2, eventH1 or eventH2:  There are several other places in this clause that need similar revision.</w:t>
            </w:r>
          </w:p>
        </w:tc>
        <w:tc>
          <w:tcPr>
            <w:tcW w:w="2229" w:type="dxa"/>
            <w:noWrap/>
            <w:hideMark/>
          </w:tcPr>
          <w:p w14:paraId="346A2482"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Not needed. Note that there is not a measurement event trigger D2, but a conditional event trigger D2. The latter is only used for CHO and measurements are not reported. [Huawei-Lili] There is currently no RRM event A2, only CHO event A2. This is related to RIL [H005], if [H005] is agreed, [H004][H008] need to be agreed as well.</w:t>
            </w:r>
          </w:p>
        </w:tc>
      </w:tr>
      <w:tr w:rsidR="00E71BC9" w:rsidRPr="00E71BC9" w14:paraId="23DB23A2" w14:textId="77777777" w:rsidTr="00E71BC9">
        <w:trPr>
          <w:trHeight w:val="300"/>
        </w:trPr>
        <w:tc>
          <w:tcPr>
            <w:tcW w:w="69" w:type="dxa"/>
            <w:noWrap/>
            <w:hideMark/>
          </w:tcPr>
          <w:p w14:paraId="232299AB"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H005</w:t>
            </w:r>
          </w:p>
        </w:tc>
        <w:tc>
          <w:tcPr>
            <w:tcW w:w="198" w:type="dxa"/>
            <w:noWrap/>
            <w:hideMark/>
          </w:tcPr>
          <w:p w14:paraId="016DF676"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Huawei (Lili)</w:t>
            </w:r>
          </w:p>
        </w:tc>
        <w:tc>
          <w:tcPr>
            <w:tcW w:w="179" w:type="dxa"/>
            <w:noWrap/>
            <w:hideMark/>
          </w:tcPr>
          <w:p w14:paraId="7294CF53"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51E2A7C7"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7F4B4FA3"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ToDo</w:t>
            </w:r>
          </w:p>
        </w:tc>
        <w:tc>
          <w:tcPr>
            <w:tcW w:w="2229" w:type="dxa"/>
            <w:noWrap/>
            <w:hideMark/>
          </w:tcPr>
          <w:p w14:paraId="073B11F6"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We agree there should be an EventD2. It can be discussed in RAN2#125.</w:t>
            </w:r>
          </w:p>
        </w:tc>
        <w:tc>
          <w:tcPr>
            <w:tcW w:w="1987" w:type="dxa"/>
            <w:noWrap/>
            <w:hideMark/>
          </w:tcPr>
          <w:p w14:paraId="002CB3A8"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Absence of normal Event D2</w:t>
            </w:r>
          </w:p>
        </w:tc>
        <w:tc>
          <w:tcPr>
            <w:tcW w:w="2229" w:type="dxa"/>
            <w:noWrap/>
            <w:hideMark/>
          </w:tcPr>
          <w:p w14:paraId="4DF4EABA"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 xml:space="preserve">For fixed cell, we have an event D1 (for location-triggered measurement reporting) and a condEventD1 (for location-based CHO). For moving cell, we only have condEventD2.  We think the normal event D2 for moving cell is also needed, and the network can make HO decisions based on the reported measurement results.  Solution: Change “CondEvent D2” to “Event D2”, and change the </w:t>
            </w:r>
            <w:r w:rsidRPr="00E71BC9">
              <w:rPr>
                <w:rFonts w:ascii="Arial" w:eastAsia="Times New Roman" w:hAnsi="Arial" w:cs="Times New Roman"/>
                <w:sz w:val="20"/>
                <w:szCs w:val="20"/>
                <w:lang w:eastAsia="zh-CN"/>
              </w:rPr>
              <w:lastRenderedPageBreak/>
              <w:t>corresponding procedure texts, and change reportConfigNR accordingly.</w:t>
            </w:r>
          </w:p>
        </w:tc>
        <w:tc>
          <w:tcPr>
            <w:tcW w:w="2229" w:type="dxa"/>
            <w:noWrap/>
            <w:hideMark/>
          </w:tcPr>
          <w:p w14:paraId="47DDD257"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[Ericsson - Ignacio] We agree there should be an EventD2 and its need should be discussed in RAN2#125.</w:t>
            </w:r>
          </w:p>
        </w:tc>
      </w:tr>
      <w:tr w:rsidR="00E71BC9" w:rsidRPr="00E71BC9" w14:paraId="4D33957A" w14:textId="77777777" w:rsidTr="00E71BC9">
        <w:trPr>
          <w:trHeight w:val="300"/>
        </w:trPr>
        <w:tc>
          <w:tcPr>
            <w:tcW w:w="69" w:type="dxa"/>
            <w:noWrap/>
            <w:hideMark/>
          </w:tcPr>
          <w:p w14:paraId="28F2B108"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H006</w:t>
            </w:r>
          </w:p>
        </w:tc>
        <w:tc>
          <w:tcPr>
            <w:tcW w:w="198" w:type="dxa"/>
            <w:noWrap/>
            <w:hideMark/>
          </w:tcPr>
          <w:p w14:paraId="017E35B5"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Huawei (Lili)</w:t>
            </w:r>
          </w:p>
        </w:tc>
        <w:tc>
          <w:tcPr>
            <w:tcW w:w="179" w:type="dxa"/>
            <w:noWrap/>
            <w:hideMark/>
          </w:tcPr>
          <w:p w14:paraId="61DF2443"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487F116E"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4DCC8E43"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PropReject</w:t>
            </w:r>
          </w:p>
        </w:tc>
        <w:tc>
          <w:tcPr>
            <w:tcW w:w="2229" w:type="dxa"/>
            <w:noWrap/>
            <w:hideMark/>
          </w:tcPr>
          <w:p w14:paraId="3B7A905C"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Similar to what it is captured in EventD1, we do not think it mattes which is the serving or the target cell.</w:t>
            </w:r>
          </w:p>
        </w:tc>
        <w:tc>
          <w:tcPr>
            <w:tcW w:w="1987" w:type="dxa"/>
            <w:noWrap/>
            <w:hideMark/>
          </w:tcPr>
          <w:p w14:paraId="6800E21A"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It is unclear which reference location corresponds to which ephemeris</w:t>
            </w:r>
          </w:p>
        </w:tc>
        <w:tc>
          <w:tcPr>
            <w:tcW w:w="2229" w:type="dxa"/>
            <w:noWrap/>
            <w:hideMark/>
          </w:tcPr>
          <w:p w14:paraId="04EEE0A2"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Clarify in the spec that Ml1 corresponds to serving cell and Ml2 corresponds to neighbour cell</w:t>
            </w:r>
          </w:p>
        </w:tc>
        <w:tc>
          <w:tcPr>
            <w:tcW w:w="2229" w:type="dxa"/>
            <w:noWrap/>
            <w:hideMark/>
          </w:tcPr>
          <w:p w14:paraId="5B2C4A84"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Similar to what it is captured in EventD1, we do not think it mattes which is the serving or the target cell.</w:t>
            </w:r>
          </w:p>
        </w:tc>
      </w:tr>
      <w:tr w:rsidR="00E71BC9" w:rsidRPr="00E71BC9" w14:paraId="6DBC178C" w14:textId="77777777" w:rsidTr="00E71BC9">
        <w:trPr>
          <w:trHeight w:val="300"/>
        </w:trPr>
        <w:tc>
          <w:tcPr>
            <w:tcW w:w="69" w:type="dxa"/>
            <w:noWrap/>
            <w:hideMark/>
          </w:tcPr>
          <w:p w14:paraId="4EFA35E5"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H007</w:t>
            </w:r>
          </w:p>
        </w:tc>
        <w:tc>
          <w:tcPr>
            <w:tcW w:w="198" w:type="dxa"/>
            <w:noWrap/>
            <w:hideMark/>
          </w:tcPr>
          <w:p w14:paraId="6FF28474"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Huawei (Lili)</w:t>
            </w:r>
          </w:p>
        </w:tc>
        <w:tc>
          <w:tcPr>
            <w:tcW w:w="179" w:type="dxa"/>
            <w:noWrap/>
            <w:hideMark/>
          </w:tcPr>
          <w:p w14:paraId="45D0566B"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64901F82"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0815B9DD"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PropReject</w:t>
            </w:r>
          </w:p>
        </w:tc>
        <w:tc>
          <w:tcPr>
            <w:tcW w:w="2229" w:type="dxa"/>
            <w:noWrap/>
            <w:hideMark/>
          </w:tcPr>
          <w:p w14:paraId="4487FB86"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We do not think this is a real issue that needs to be captured in Stage 3. Nonetheless, we propose instead to align with the text in 38.304 and add a NOTE.</w:t>
            </w:r>
          </w:p>
        </w:tc>
        <w:tc>
          <w:tcPr>
            <w:tcW w:w="1987" w:type="dxa"/>
            <w:noWrap/>
            <w:hideMark/>
          </w:tcPr>
          <w:p w14:paraId="2FC90BE9"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UE behaviour of “predicting the reference location” needs to be captured somewhere.</w:t>
            </w:r>
          </w:p>
        </w:tc>
        <w:tc>
          <w:tcPr>
            <w:tcW w:w="2229" w:type="dxa"/>
            <w:noWrap/>
            <w:hideMark/>
          </w:tcPr>
          <w:p w14:paraId="4EDAC761"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Correponding descriptions in IoT NTN (clause: “If configured for an earth moving cell, the UE predicts the movement of reference location based on the ephemeris information and epoch time provided in CondReconfigurationAddMod.”  Solution: Add the following sentence at the end of Ml1 and Ml2 description:</w:t>
            </w:r>
            <w:r w:rsidRPr="00E71BC9">
              <w:rPr>
                <w:rFonts w:ascii="Arial" w:eastAsia="Times New Roman" w:hAnsi="Arial" w:cs="Times New Roman"/>
                <w:sz w:val="20"/>
                <w:szCs w:val="20"/>
                <w:lang w:eastAsia="zh-CN"/>
              </w:rPr>
              <w:br/>
              <w:t>The UE predicts the movement of reference location based on the ephemeris information.</w:t>
            </w:r>
          </w:p>
        </w:tc>
        <w:tc>
          <w:tcPr>
            <w:tcW w:w="2229" w:type="dxa"/>
            <w:noWrap/>
            <w:hideMark/>
          </w:tcPr>
          <w:p w14:paraId="3A1FB6F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(ASUSTeK-Erica v092) We also suggest to align with 36.331. And, to resolve V504, the following could be added: “The UE predicts the movement of reference location based on the ephemeris information and epoch time provided in RRCReconfiguration or SIB19.”</w:t>
            </w:r>
          </w:p>
        </w:tc>
      </w:tr>
      <w:tr w:rsidR="00E71BC9" w:rsidRPr="00E71BC9" w14:paraId="7202A4DD" w14:textId="77777777" w:rsidTr="00E71BC9">
        <w:trPr>
          <w:trHeight w:val="300"/>
        </w:trPr>
        <w:tc>
          <w:tcPr>
            <w:tcW w:w="69" w:type="dxa"/>
            <w:noWrap/>
            <w:hideMark/>
          </w:tcPr>
          <w:p w14:paraId="63E03790"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H008</w:t>
            </w:r>
          </w:p>
        </w:tc>
        <w:tc>
          <w:tcPr>
            <w:tcW w:w="198" w:type="dxa"/>
            <w:noWrap/>
            <w:hideMark/>
          </w:tcPr>
          <w:p w14:paraId="2BC08A1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Huawei (Lili)</w:t>
            </w:r>
          </w:p>
        </w:tc>
        <w:tc>
          <w:tcPr>
            <w:tcW w:w="179" w:type="dxa"/>
            <w:noWrap/>
            <w:hideMark/>
          </w:tcPr>
          <w:p w14:paraId="147F95F0"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7DA7E762"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2D649A95"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PropReject</w:t>
            </w:r>
          </w:p>
        </w:tc>
        <w:tc>
          <w:tcPr>
            <w:tcW w:w="2229" w:type="dxa"/>
            <w:noWrap/>
            <w:hideMark/>
          </w:tcPr>
          <w:p w14:paraId="078B02E6"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 xml:space="preserve">[Ericsson - Ignacio] Not needed. Note that there is not a measurement event trigger D2, but a conditional event trigger D2. The latter is </w:t>
            </w:r>
            <w:r w:rsidRPr="00E71BC9">
              <w:rPr>
                <w:rFonts w:ascii="Arial" w:eastAsia="Times New Roman" w:hAnsi="Arial" w:cs="Times New Roman"/>
                <w:sz w:val="20"/>
                <w:szCs w:val="20"/>
                <w:lang w:eastAsia="zh-CN"/>
              </w:rPr>
              <w:lastRenderedPageBreak/>
              <w:t>only used for CHO and measurements are not reported.</w:t>
            </w:r>
          </w:p>
        </w:tc>
        <w:tc>
          <w:tcPr>
            <w:tcW w:w="1987" w:type="dxa"/>
            <w:noWrap/>
            <w:hideMark/>
          </w:tcPr>
          <w:p w14:paraId="7AFAF0F1"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eventD2 should also be excluded</w:t>
            </w:r>
          </w:p>
        </w:tc>
        <w:tc>
          <w:tcPr>
            <w:tcW w:w="2229" w:type="dxa"/>
            <w:noWrap/>
            <w:hideMark/>
          </w:tcPr>
          <w:p w14:paraId="07FA4105"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if the reportType is set to eventTriggered and eventId is not set to eventD1 or eventD2 or eventH1 or eventH2  There are other places in this clause that need similar revision.</w:t>
            </w:r>
          </w:p>
        </w:tc>
        <w:tc>
          <w:tcPr>
            <w:tcW w:w="2229" w:type="dxa"/>
            <w:noWrap/>
            <w:hideMark/>
          </w:tcPr>
          <w:p w14:paraId="269D0CD9"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 xml:space="preserve">[Ericsson - Ignacio] Not needed. Note that there is not a measurement event trigger D2, but a conditional event trigger D2. The latter </w:t>
            </w:r>
            <w:r w:rsidRPr="00E71BC9">
              <w:rPr>
                <w:rFonts w:ascii="Arial" w:eastAsia="Times New Roman" w:hAnsi="Arial" w:cs="Times New Roman"/>
                <w:sz w:val="20"/>
                <w:szCs w:val="20"/>
                <w:lang w:eastAsia="zh-CN"/>
              </w:rPr>
              <w:lastRenderedPageBreak/>
              <w:t>is only used for CHO and measurements are not reported.</w:t>
            </w:r>
          </w:p>
        </w:tc>
      </w:tr>
      <w:tr w:rsidR="00E71BC9" w:rsidRPr="00E71BC9" w14:paraId="0A11D866" w14:textId="77777777" w:rsidTr="00E71BC9">
        <w:trPr>
          <w:trHeight w:val="300"/>
        </w:trPr>
        <w:tc>
          <w:tcPr>
            <w:tcW w:w="69" w:type="dxa"/>
            <w:noWrap/>
            <w:hideMark/>
          </w:tcPr>
          <w:p w14:paraId="6A7BAFCA"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H009</w:t>
            </w:r>
          </w:p>
        </w:tc>
        <w:tc>
          <w:tcPr>
            <w:tcW w:w="198" w:type="dxa"/>
            <w:noWrap/>
            <w:hideMark/>
          </w:tcPr>
          <w:p w14:paraId="2613BBD1"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Huawei (Marcin)</w:t>
            </w:r>
          </w:p>
        </w:tc>
        <w:tc>
          <w:tcPr>
            <w:tcW w:w="179" w:type="dxa"/>
            <w:noWrap/>
            <w:hideMark/>
          </w:tcPr>
          <w:p w14:paraId="5E18F5D3"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7E9B82A1"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2</w:t>
            </w:r>
          </w:p>
        </w:tc>
        <w:tc>
          <w:tcPr>
            <w:tcW w:w="172" w:type="dxa"/>
            <w:shd w:val="clear" w:color="auto" w:fill="E2EFD9" w:themeFill="accent6" w:themeFillTint="33"/>
            <w:noWrap/>
            <w:hideMark/>
          </w:tcPr>
          <w:p w14:paraId="2EEF58AB"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ToDo</w:t>
            </w:r>
          </w:p>
        </w:tc>
        <w:tc>
          <w:tcPr>
            <w:tcW w:w="2229" w:type="dxa"/>
            <w:noWrap/>
            <w:hideMark/>
          </w:tcPr>
          <w:p w14:paraId="2F296D77"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Similar to S481. This can be treated in a Tdoc.</w:t>
            </w:r>
          </w:p>
        </w:tc>
        <w:tc>
          <w:tcPr>
            <w:tcW w:w="1987" w:type="dxa"/>
            <w:noWrap/>
            <w:hideMark/>
          </w:tcPr>
          <w:p w14:paraId="635943CC"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Missing parameters for RSRP threshold and number of repetitions for NTN coverage enhancements</w:t>
            </w:r>
          </w:p>
        </w:tc>
        <w:tc>
          <w:tcPr>
            <w:tcW w:w="2229" w:type="dxa"/>
            <w:noWrap/>
            <w:hideMark/>
          </w:tcPr>
          <w:p w14:paraId="728AD394"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Parameters from the RAN1 list are not implemented.  Implement the feature according to the latest RAN1 parameter list.</w:t>
            </w:r>
          </w:p>
        </w:tc>
        <w:tc>
          <w:tcPr>
            <w:tcW w:w="2229" w:type="dxa"/>
            <w:noWrap/>
            <w:hideMark/>
          </w:tcPr>
          <w:p w14:paraId="52E3D93D"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p>
        </w:tc>
      </w:tr>
      <w:tr w:rsidR="00E71BC9" w:rsidRPr="00E71BC9" w14:paraId="37ACDE48" w14:textId="77777777" w:rsidTr="00E71BC9">
        <w:trPr>
          <w:trHeight w:val="300"/>
        </w:trPr>
        <w:tc>
          <w:tcPr>
            <w:tcW w:w="69" w:type="dxa"/>
            <w:noWrap/>
            <w:hideMark/>
          </w:tcPr>
          <w:p w14:paraId="69A76F5C"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H010</w:t>
            </w:r>
          </w:p>
        </w:tc>
        <w:tc>
          <w:tcPr>
            <w:tcW w:w="198" w:type="dxa"/>
            <w:noWrap/>
            <w:hideMark/>
          </w:tcPr>
          <w:p w14:paraId="57680000"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Huawei (Lili)</w:t>
            </w:r>
          </w:p>
        </w:tc>
        <w:tc>
          <w:tcPr>
            <w:tcW w:w="179" w:type="dxa"/>
            <w:noWrap/>
            <w:hideMark/>
          </w:tcPr>
          <w:p w14:paraId="4BD4E933"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42032444"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0D931D46"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ToDo</w:t>
            </w:r>
          </w:p>
        </w:tc>
        <w:tc>
          <w:tcPr>
            <w:tcW w:w="2229" w:type="dxa"/>
            <w:noWrap/>
            <w:hideMark/>
          </w:tcPr>
          <w:p w14:paraId="5FD6AE5D"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No strong opinion. We think it should be the first symbol and ssb-timeOffset has been agreed so far.</w:t>
            </w:r>
          </w:p>
        </w:tc>
        <w:tc>
          <w:tcPr>
            <w:tcW w:w="1987" w:type="dxa"/>
            <w:noWrap/>
            <w:hideMark/>
          </w:tcPr>
          <w:p w14:paraId="49EC1EDE"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Use stmc to replace ssb-TimeOffset</w:t>
            </w:r>
          </w:p>
        </w:tc>
        <w:tc>
          <w:tcPr>
            <w:tcW w:w="2229" w:type="dxa"/>
            <w:noWrap/>
            <w:hideMark/>
          </w:tcPr>
          <w:p w14:paraId="026918D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The current field description for ssb-TimeOffset is not clear, whether the “SSB from source” refers to the start subframe of SMTC or the start symbol of the 1st detected SSB (that could vary among UEs).  ssb-TimeOffset Indicates the time offset between the SSB from source and target satellite at the uplink time synchronization reference point. It is given in number of subframes.  Solution: Use “smtc SSB-MTC” to replace “ssb-TimeOffset-r18 INTEGER (0..159)”</w:t>
            </w:r>
          </w:p>
        </w:tc>
        <w:tc>
          <w:tcPr>
            <w:tcW w:w="2229" w:type="dxa"/>
            <w:noWrap/>
            <w:hideMark/>
          </w:tcPr>
          <w:p w14:paraId="14EBDDE9"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No strong opinion. We think it should be the first symbol, but ssb-TimeOffset has been agreed so far.</w:t>
            </w:r>
          </w:p>
        </w:tc>
      </w:tr>
      <w:tr w:rsidR="00E71BC9" w:rsidRPr="00E71BC9" w14:paraId="3577CCC8" w14:textId="77777777" w:rsidTr="00E71BC9">
        <w:trPr>
          <w:trHeight w:val="300"/>
        </w:trPr>
        <w:tc>
          <w:tcPr>
            <w:tcW w:w="69" w:type="dxa"/>
            <w:noWrap/>
            <w:hideMark/>
          </w:tcPr>
          <w:p w14:paraId="7DD84832"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H011</w:t>
            </w:r>
          </w:p>
        </w:tc>
        <w:tc>
          <w:tcPr>
            <w:tcW w:w="198" w:type="dxa"/>
            <w:noWrap/>
            <w:hideMark/>
          </w:tcPr>
          <w:p w14:paraId="6D569069"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Huawei (Lili)</w:t>
            </w:r>
          </w:p>
        </w:tc>
        <w:tc>
          <w:tcPr>
            <w:tcW w:w="179" w:type="dxa"/>
            <w:noWrap/>
            <w:hideMark/>
          </w:tcPr>
          <w:p w14:paraId="2CEEFBDD"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67412087"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4889D3AD"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PropReject</w:t>
            </w:r>
          </w:p>
        </w:tc>
        <w:tc>
          <w:tcPr>
            <w:tcW w:w="2229" w:type="dxa"/>
            <w:noWrap/>
            <w:hideMark/>
          </w:tcPr>
          <w:p w14:paraId="6A8A7E9E"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 xml:space="preserve">[Ericsson - Ignacio] We see no need for a clarification. According to the agreement posted by Huawei, the restriction has been removed in Rel-18 along with the condition in this </w:t>
            </w:r>
            <w:r w:rsidRPr="00E71BC9">
              <w:rPr>
                <w:rFonts w:ascii="Arial" w:eastAsia="Times New Roman" w:hAnsi="Arial" w:cs="Times New Roman"/>
                <w:sz w:val="20"/>
                <w:szCs w:val="20"/>
                <w:lang w:eastAsia="zh-CN"/>
              </w:rPr>
              <w:lastRenderedPageBreak/>
              <w:t>clause. Regarding the scenarios, if anything needs to be capture (has to be discussed), we think it should be in stage 2. In any case, the text shall be aligned between IoT and NR.</w:t>
            </w:r>
          </w:p>
        </w:tc>
        <w:tc>
          <w:tcPr>
            <w:tcW w:w="1987" w:type="dxa"/>
            <w:noWrap/>
            <w:hideMark/>
          </w:tcPr>
          <w:p w14:paraId="5E286D61"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Clarify that the time/location based CHO can be configured independently</w:t>
            </w:r>
          </w:p>
        </w:tc>
        <w:tc>
          <w:tcPr>
            <w:tcW w:w="2229" w:type="dxa"/>
            <w:noWrap/>
            <w:hideMark/>
          </w:tcPr>
          <w:p w14:paraId="4FF9175A"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 xml:space="preserve">In IoT NTN, we have the following clarification:  For CHO in NTN, condEventD1 or condEventT1 can be configured independently for a candidate cell (i.e. without a second triggering event condEventA3, condEventA4 or condEventA5 for the same candidate cell), e.g. </w:t>
            </w:r>
            <w:r w:rsidRPr="00E71BC9">
              <w:rPr>
                <w:rFonts w:ascii="Arial" w:eastAsia="Times New Roman" w:hAnsi="Arial" w:cs="Times New Roman"/>
                <w:sz w:val="20"/>
                <w:szCs w:val="20"/>
                <w:lang w:eastAsia="zh-CN"/>
              </w:rPr>
              <w:lastRenderedPageBreak/>
              <w:t>in hard satellite swithing cases where the coverage gap between previous satellite and the incoming satellite is assumed to be zero or negligible.  The similar should be added to NR NTN, because the following agreement applies to both IoT NTN and NR NTN  From RAN2#123:  *** common proposal for NR NTN and eMTC NTN *** For CHO in NTN (both NR NTN and eMTC NTN, time and location-based trigger conditions may be configured independently (i.e., without a jointly configured measurement condition). We add a description/note saying in which scenarios this is reasonable, e.g. at least hard-switch case where gap is assumed to be zero/negligible  Current implementation is removing the R17 restriction, but the target scenario is unclear.</w:t>
            </w:r>
          </w:p>
        </w:tc>
        <w:tc>
          <w:tcPr>
            <w:tcW w:w="2229" w:type="dxa"/>
            <w:noWrap/>
            <w:hideMark/>
          </w:tcPr>
          <w:p w14:paraId="2201ADDD"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 xml:space="preserve">[Ericsson - Ignacio] We see no need for a clarification. According to the agreement posted by Huawei, the restriction has been removed in Rel-18 along with the </w:t>
            </w:r>
            <w:r w:rsidRPr="00E71BC9">
              <w:rPr>
                <w:rFonts w:ascii="Arial" w:eastAsia="Times New Roman" w:hAnsi="Arial" w:cs="Times New Roman"/>
                <w:sz w:val="20"/>
                <w:szCs w:val="20"/>
                <w:lang w:eastAsia="zh-CN"/>
              </w:rPr>
              <w:lastRenderedPageBreak/>
              <w:t>condition in this clause. Regarding the scenarios, if anything needs to be capture (has to be discussed), we think it should be in stage 2. In any case, the text shall be aligned between IoT and NR.</w:t>
            </w:r>
          </w:p>
        </w:tc>
      </w:tr>
      <w:tr w:rsidR="00E71BC9" w:rsidRPr="00E71BC9" w14:paraId="25D3A6C9" w14:textId="77777777" w:rsidTr="00E71BC9">
        <w:trPr>
          <w:trHeight w:val="300"/>
        </w:trPr>
        <w:tc>
          <w:tcPr>
            <w:tcW w:w="69" w:type="dxa"/>
            <w:noWrap/>
            <w:hideMark/>
          </w:tcPr>
          <w:p w14:paraId="4FF7D1CC"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H012</w:t>
            </w:r>
          </w:p>
        </w:tc>
        <w:tc>
          <w:tcPr>
            <w:tcW w:w="198" w:type="dxa"/>
            <w:noWrap/>
            <w:hideMark/>
          </w:tcPr>
          <w:p w14:paraId="71386156"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Huawei (Lili)</w:t>
            </w:r>
          </w:p>
        </w:tc>
        <w:tc>
          <w:tcPr>
            <w:tcW w:w="179" w:type="dxa"/>
            <w:noWrap/>
            <w:hideMark/>
          </w:tcPr>
          <w:p w14:paraId="1AFB2578"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2FD91E92"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2</w:t>
            </w:r>
          </w:p>
        </w:tc>
        <w:tc>
          <w:tcPr>
            <w:tcW w:w="172" w:type="dxa"/>
            <w:shd w:val="clear" w:color="auto" w:fill="E2EFD9" w:themeFill="accent6" w:themeFillTint="33"/>
            <w:noWrap/>
            <w:hideMark/>
          </w:tcPr>
          <w:p w14:paraId="3776A6CC"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PropReject</w:t>
            </w:r>
          </w:p>
        </w:tc>
        <w:tc>
          <w:tcPr>
            <w:tcW w:w="2229" w:type="dxa"/>
            <w:noWrap/>
            <w:hideMark/>
          </w:tcPr>
          <w:p w14:paraId="5DE9BF31"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 xml:space="preserve">[Ericsson - Ignacio] It is clear to which cell the ephemeris belongs to. If you see CellsToAddMod IE, PCI is provided. Thus, we believe there is no possibility for confusion. We </w:t>
            </w:r>
            <w:r w:rsidRPr="00E71BC9">
              <w:rPr>
                <w:rFonts w:ascii="Arial" w:eastAsia="Times New Roman" w:hAnsi="Arial" w:cs="Times New Roman"/>
                <w:sz w:val="20"/>
                <w:szCs w:val="20"/>
                <w:lang w:eastAsia="zh-CN"/>
              </w:rPr>
              <w:lastRenderedPageBreak/>
              <w:t>disagree with IoT NTN solution. As mentioned earlier in the reflector, ConfReconfigToAddMod is a poor placement choice since it is an IE to link IDs with configurations, rather than assistance information.</w:t>
            </w:r>
          </w:p>
        </w:tc>
        <w:tc>
          <w:tcPr>
            <w:tcW w:w="1987" w:type="dxa"/>
            <w:noWrap/>
            <w:hideMark/>
          </w:tcPr>
          <w:p w14:paraId="6B58A7E5"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Ephemeris info for EMC relocated to CondReconfigToAddMod</w:t>
            </w:r>
          </w:p>
        </w:tc>
        <w:tc>
          <w:tcPr>
            <w:tcW w:w="2229" w:type="dxa"/>
            <w:noWrap/>
            <w:hideMark/>
          </w:tcPr>
          <w:p w14:paraId="432DE803"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 xml:space="preserve">If put in CondReconfigToAddMod, it is clear that the ephemeris information corresponds to the candidate cell. However, if put in a list in MO, it is unclear which ephmeris corresponds to which candidate cell.  Solution: Similar to IoT NTN, put the ephemeris </w:t>
            </w:r>
            <w:r w:rsidRPr="00E71BC9">
              <w:rPr>
                <w:rFonts w:ascii="Arial" w:eastAsia="Times New Roman" w:hAnsi="Arial" w:cs="Times New Roman"/>
                <w:sz w:val="20"/>
                <w:szCs w:val="20"/>
                <w:lang w:eastAsia="zh-CN"/>
              </w:rPr>
              <w:lastRenderedPageBreak/>
              <w:t>info for EMC in CondReconfigToAddMod for each candidate cell.</w:t>
            </w:r>
          </w:p>
        </w:tc>
        <w:tc>
          <w:tcPr>
            <w:tcW w:w="2229" w:type="dxa"/>
            <w:noWrap/>
            <w:hideMark/>
          </w:tcPr>
          <w:p w14:paraId="532AA39D"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 xml:space="preserve">[Ericsson - Ignacio] In our view, it is clear to which cell the ephemeris belongs to. For example, if one looks at CellsToAddMod IE, PCI is provided in connection to ntn </w:t>
            </w:r>
            <w:r w:rsidRPr="00E71BC9">
              <w:rPr>
                <w:rFonts w:ascii="Arial" w:eastAsia="Times New Roman" w:hAnsi="Arial" w:cs="Times New Roman"/>
                <w:sz w:val="20"/>
                <w:szCs w:val="20"/>
                <w:lang w:eastAsia="zh-CN"/>
              </w:rPr>
              <w:lastRenderedPageBreak/>
              <w:t>polarization and ephemeris. Thus, we believe there is no possibility for confusion. We disagree with IoT NTN solution. As mentioned earlier in the reflector, ConfReconfigToAddMod is a poor placement choice since it is an IE to link IDs with configurations, rather than assistance information.</w:t>
            </w:r>
          </w:p>
        </w:tc>
      </w:tr>
      <w:tr w:rsidR="00E71BC9" w:rsidRPr="00E71BC9" w14:paraId="7F8065EE" w14:textId="77777777" w:rsidTr="00E71BC9">
        <w:trPr>
          <w:trHeight w:val="300"/>
        </w:trPr>
        <w:tc>
          <w:tcPr>
            <w:tcW w:w="69" w:type="dxa"/>
            <w:noWrap/>
            <w:hideMark/>
          </w:tcPr>
          <w:p w14:paraId="43B24450"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H013</w:t>
            </w:r>
          </w:p>
        </w:tc>
        <w:tc>
          <w:tcPr>
            <w:tcW w:w="198" w:type="dxa"/>
            <w:noWrap/>
            <w:hideMark/>
          </w:tcPr>
          <w:p w14:paraId="28F37BFE"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Huawei (Lili)</w:t>
            </w:r>
          </w:p>
        </w:tc>
        <w:tc>
          <w:tcPr>
            <w:tcW w:w="179" w:type="dxa"/>
            <w:noWrap/>
            <w:hideMark/>
          </w:tcPr>
          <w:p w14:paraId="1FE88B54"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3735D701"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278611C3"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PropAgree</w:t>
            </w:r>
          </w:p>
        </w:tc>
        <w:tc>
          <w:tcPr>
            <w:tcW w:w="2229" w:type="dxa"/>
            <w:noWrap/>
            <w:hideMark/>
          </w:tcPr>
          <w:p w14:paraId="5D643BDB"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Ericsson agrees. It will be addressed in WI Rapp CR.</w:t>
            </w:r>
          </w:p>
        </w:tc>
        <w:tc>
          <w:tcPr>
            <w:tcW w:w="1987" w:type="dxa"/>
            <w:noWrap/>
            <w:hideMark/>
          </w:tcPr>
          <w:p w14:paraId="69592E7A"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determined based on both reference location and ephemeris</w:t>
            </w:r>
          </w:p>
        </w:tc>
        <w:tc>
          <w:tcPr>
            <w:tcW w:w="2229" w:type="dxa"/>
            <w:noWrap/>
            <w:hideMark/>
          </w:tcPr>
          <w:p w14:paraId="1D58EA12"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The descriptions is not precise, the real-time reference location is determined by both the configured reference location and the ephemeris information</w:t>
            </w:r>
          </w:p>
        </w:tc>
        <w:tc>
          <w:tcPr>
            <w:tcW w:w="2229" w:type="dxa"/>
            <w:noWrap/>
            <w:hideMark/>
          </w:tcPr>
          <w:p w14:paraId="77186FA8"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Ericsson agrees. It will be addressed in WI Rapp CR.</w:t>
            </w:r>
          </w:p>
        </w:tc>
      </w:tr>
      <w:tr w:rsidR="00E71BC9" w:rsidRPr="00E71BC9" w14:paraId="48CB212A" w14:textId="77777777" w:rsidTr="00E71BC9">
        <w:trPr>
          <w:trHeight w:val="300"/>
        </w:trPr>
        <w:tc>
          <w:tcPr>
            <w:tcW w:w="69" w:type="dxa"/>
            <w:noWrap/>
            <w:hideMark/>
          </w:tcPr>
          <w:p w14:paraId="7BD35CDC"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H014</w:t>
            </w:r>
          </w:p>
        </w:tc>
        <w:tc>
          <w:tcPr>
            <w:tcW w:w="198" w:type="dxa"/>
            <w:noWrap/>
            <w:hideMark/>
          </w:tcPr>
          <w:p w14:paraId="769E586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Huawei (Lili)</w:t>
            </w:r>
          </w:p>
        </w:tc>
        <w:tc>
          <w:tcPr>
            <w:tcW w:w="179" w:type="dxa"/>
            <w:noWrap/>
            <w:hideMark/>
          </w:tcPr>
          <w:p w14:paraId="33B3858C"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09172301"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57A69A5B"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PropAgree</w:t>
            </w:r>
          </w:p>
        </w:tc>
        <w:tc>
          <w:tcPr>
            <w:tcW w:w="2229" w:type="dxa"/>
            <w:noWrap/>
            <w:hideMark/>
          </w:tcPr>
          <w:p w14:paraId="2D7C695B"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Ericsson agrees. It will be addressed in WI Rapp CR.</w:t>
            </w:r>
          </w:p>
        </w:tc>
        <w:tc>
          <w:tcPr>
            <w:tcW w:w="1987" w:type="dxa"/>
            <w:noWrap/>
            <w:hideMark/>
          </w:tcPr>
          <w:p w14:paraId="18E288CD"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determined based on both reference location and ephemeris</w:t>
            </w:r>
          </w:p>
        </w:tc>
        <w:tc>
          <w:tcPr>
            <w:tcW w:w="2229" w:type="dxa"/>
            <w:noWrap/>
            <w:hideMark/>
          </w:tcPr>
          <w:p w14:paraId="45A6D18D"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The descriptions is not precise, the real-time reference location is determined by both the configured reference location and the ephemeris information</w:t>
            </w:r>
          </w:p>
        </w:tc>
        <w:tc>
          <w:tcPr>
            <w:tcW w:w="2229" w:type="dxa"/>
            <w:noWrap/>
            <w:hideMark/>
          </w:tcPr>
          <w:p w14:paraId="2BC1E717"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p>
        </w:tc>
      </w:tr>
      <w:tr w:rsidR="00E71BC9" w:rsidRPr="00E71BC9" w14:paraId="1A572466" w14:textId="77777777" w:rsidTr="00E71BC9">
        <w:trPr>
          <w:trHeight w:val="300"/>
        </w:trPr>
        <w:tc>
          <w:tcPr>
            <w:tcW w:w="69" w:type="dxa"/>
            <w:noWrap/>
            <w:hideMark/>
          </w:tcPr>
          <w:p w14:paraId="33C430DC"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H015</w:t>
            </w:r>
          </w:p>
        </w:tc>
        <w:tc>
          <w:tcPr>
            <w:tcW w:w="198" w:type="dxa"/>
            <w:noWrap/>
            <w:hideMark/>
          </w:tcPr>
          <w:p w14:paraId="08933148"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Huawei (Lili)</w:t>
            </w:r>
          </w:p>
        </w:tc>
        <w:tc>
          <w:tcPr>
            <w:tcW w:w="179" w:type="dxa"/>
            <w:noWrap/>
            <w:hideMark/>
          </w:tcPr>
          <w:p w14:paraId="11D643F7"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63FA2608"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0E91EFCE"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PropAgree</w:t>
            </w:r>
          </w:p>
        </w:tc>
        <w:tc>
          <w:tcPr>
            <w:tcW w:w="2229" w:type="dxa"/>
            <w:noWrap/>
            <w:hideMark/>
          </w:tcPr>
          <w:p w14:paraId="0FA95EB9"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Ericsson agrees. It will be addressed in WI Rapp CR.</w:t>
            </w:r>
          </w:p>
        </w:tc>
        <w:tc>
          <w:tcPr>
            <w:tcW w:w="1987" w:type="dxa"/>
            <w:noWrap/>
            <w:hideMark/>
          </w:tcPr>
          <w:p w14:paraId="6FA38B1D"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Unchanged PCI case is missing</w:t>
            </w:r>
          </w:p>
        </w:tc>
        <w:tc>
          <w:tcPr>
            <w:tcW w:w="4458" w:type="dxa"/>
            <w:gridSpan w:val="2"/>
            <w:noWrap/>
            <w:hideMark/>
          </w:tcPr>
          <w:p w14:paraId="701CC24E"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 xml:space="preserve">Start or restart from the subframe indicated by epochTime upon reception of SIB19, or upon reception of RRCReconfiguration message for the target cell including reconfigurationWithSync, or upon conditional reconfiguration execution i.e. when applying a stored RRCReconfiguration message for the target cell </w:t>
            </w:r>
            <w:r w:rsidRPr="00E71BC9">
              <w:rPr>
                <w:rFonts w:ascii="Arial" w:eastAsia="Times New Roman" w:hAnsi="Arial" w:cs="Times New Roman"/>
                <w:sz w:val="20"/>
                <w:szCs w:val="20"/>
                <w:lang w:eastAsia="zh-CN"/>
              </w:rPr>
              <w:lastRenderedPageBreak/>
              <w:t>including reconfigurationWithSync, or upon satellite switching without PCI change.</w:t>
            </w:r>
          </w:p>
        </w:tc>
      </w:tr>
      <w:tr w:rsidR="00E71BC9" w:rsidRPr="00E71BC9" w14:paraId="6032C590" w14:textId="77777777" w:rsidTr="00E71BC9">
        <w:trPr>
          <w:trHeight w:val="300"/>
        </w:trPr>
        <w:tc>
          <w:tcPr>
            <w:tcW w:w="69" w:type="dxa"/>
            <w:noWrap/>
            <w:hideMark/>
          </w:tcPr>
          <w:p w14:paraId="1C1C0C7D"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H061</w:t>
            </w:r>
          </w:p>
        </w:tc>
        <w:tc>
          <w:tcPr>
            <w:tcW w:w="198" w:type="dxa"/>
            <w:noWrap/>
            <w:hideMark/>
          </w:tcPr>
          <w:p w14:paraId="7B17CA0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Huawei (Lili)</w:t>
            </w:r>
          </w:p>
        </w:tc>
        <w:tc>
          <w:tcPr>
            <w:tcW w:w="179" w:type="dxa"/>
            <w:noWrap/>
            <w:hideMark/>
          </w:tcPr>
          <w:p w14:paraId="5AAF998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1DA2E362"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0CF9F7AD"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PropAgree</w:t>
            </w:r>
          </w:p>
        </w:tc>
        <w:tc>
          <w:tcPr>
            <w:tcW w:w="2229" w:type="dxa"/>
            <w:noWrap/>
            <w:hideMark/>
          </w:tcPr>
          <w:p w14:paraId="6C9F6FDA"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Ericsson agrees. This seems a mistake in the merging process. It will be addressed in WI Rapp CR.</w:t>
            </w:r>
          </w:p>
        </w:tc>
        <w:tc>
          <w:tcPr>
            <w:tcW w:w="1987" w:type="dxa"/>
            <w:noWrap/>
            <w:hideMark/>
          </w:tcPr>
          <w:p w14:paraId="3B92ED64"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Inequalities for event D are missing</w:t>
            </w:r>
          </w:p>
        </w:tc>
        <w:tc>
          <w:tcPr>
            <w:tcW w:w="2229" w:type="dxa"/>
            <w:noWrap/>
            <w:hideMark/>
          </w:tcPr>
          <w:p w14:paraId="0EA9DE16"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Add back the inequalities from previous versions.</w:t>
            </w:r>
          </w:p>
        </w:tc>
        <w:tc>
          <w:tcPr>
            <w:tcW w:w="2229" w:type="dxa"/>
            <w:noWrap/>
            <w:hideMark/>
          </w:tcPr>
          <w:p w14:paraId="25B9B3C8"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p>
        </w:tc>
      </w:tr>
      <w:tr w:rsidR="00E71BC9" w:rsidRPr="00E71BC9" w14:paraId="5468793A" w14:textId="77777777" w:rsidTr="00E71BC9">
        <w:trPr>
          <w:trHeight w:val="300"/>
        </w:trPr>
        <w:tc>
          <w:tcPr>
            <w:tcW w:w="69" w:type="dxa"/>
            <w:noWrap/>
            <w:hideMark/>
          </w:tcPr>
          <w:p w14:paraId="16D21136"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H062</w:t>
            </w:r>
          </w:p>
        </w:tc>
        <w:tc>
          <w:tcPr>
            <w:tcW w:w="198" w:type="dxa"/>
            <w:noWrap/>
            <w:hideMark/>
          </w:tcPr>
          <w:p w14:paraId="13EB0DAD"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Huawei (Lili)</w:t>
            </w:r>
          </w:p>
        </w:tc>
        <w:tc>
          <w:tcPr>
            <w:tcW w:w="179" w:type="dxa"/>
            <w:noWrap/>
            <w:hideMark/>
          </w:tcPr>
          <w:p w14:paraId="3B785D25"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139A303B"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1D390E78"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PropAgree</w:t>
            </w:r>
          </w:p>
        </w:tc>
        <w:tc>
          <w:tcPr>
            <w:tcW w:w="2229" w:type="dxa"/>
            <w:noWrap/>
            <w:hideMark/>
          </w:tcPr>
          <w:p w14:paraId="30ECCC90"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The current procedure mimics the behaviour in ReconfigurationWithSync. Thus, we prefer to only update section 5.2.2.2.1. It will be addressed in the WI Rapp CR.</w:t>
            </w:r>
          </w:p>
        </w:tc>
        <w:tc>
          <w:tcPr>
            <w:tcW w:w="1987" w:type="dxa"/>
            <w:noWrap/>
            <w:hideMark/>
          </w:tcPr>
          <w:p w14:paraId="07708848"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UE should read SIB19 broadcast by the new satellite after satellite switching</w:t>
            </w:r>
          </w:p>
        </w:tc>
        <w:tc>
          <w:tcPr>
            <w:tcW w:w="4458" w:type="dxa"/>
            <w:gridSpan w:val="2"/>
            <w:noWrap/>
            <w:hideMark/>
          </w:tcPr>
          <w:p w14:paraId="0328EF14"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 xml:space="preserve">According to the current procedure, before satellite switching, UE relies on ntn-Config in SatSwitchWithReSync for target satellite ephemeris information. However, after satellite switching, there is no UE behaviour of acquiring SIB19 from target satellite for serving/neighbour cell ephemeris.  It could be argued that UE continues to use the ephemeris information broadcast by the previous satellite and only acquires SIB19 when T430 expires, but we see two issues with this approach:   After satellite switching, the neighbour cell or the associated ephemeris information may change, it’s important that UE obtains the latest neighbour satellite assistance information for RRM measurements.  According to current spec (clause 5.2.2.2.1), UE reacquires SIB19 after HO. We think it’s similar to unchanged PCI case (without HO), that the UE should obtain the latest ephemeris information:  The UE shall apply the SI acquisition procedure as defined in clause 5.2.2.3 upon cell selection (e.g. upon power on), cell-reselection, return from out of coverage, after reconfiguration with sync completion, after entering the network from another RAT, upon receiving an indication that the system information has changed, upon receiving a PWS notification, upon receiving request (e.g., a positioning request) from upper layers; and whenever the UE does not have a valid version of a stored SIB or posSIB or a valid version of a requested SIB.    Before </w:t>
            </w:r>
            <w:r w:rsidRPr="00E71BC9">
              <w:rPr>
                <w:rFonts w:ascii="Arial" w:eastAsia="Times New Roman" w:hAnsi="Arial" w:cs="Times New Roman"/>
                <w:sz w:val="20"/>
                <w:szCs w:val="20"/>
                <w:lang w:eastAsia="zh-CN"/>
              </w:rPr>
              <w:lastRenderedPageBreak/>
              <w:t>satellite switching, the ephemeris information of incoming satellite and other neighbour satellite is based on the timing of the previous satellite. After satellite switching, UE will not maintain the DL timing of previous satellite. Reacquiring the SIB19 of target satellite not only can ensure the latest ephemeris information, but also can save the complexity of converting the information based on target satellite’s timing.  Solution: Add a step of reading SIB19 after satellite switching. Besides, UE behaivor of updating SIB in 5.2.2.2.1 also needs to be revised to consider the satellite switching with re-synchronization case.  A TP will be provided in a separate Tdoc.</w:t>
            </w:r>
          </w:p>
        </w:tc>
      </w:tr>
      <w:tr w:rsidR="00E71BC9" w:rsidRPr="00E71BC9" w14:paraId="6FA46E72" w14:textId="77777777" w:rsidTr="00E71BC9">
        <w:trPr>
          <w:trHeight w:val="300"/>
        </w:trPr>
        <w:tc>
          <w:tcPr>
            <w:tcW w:w="69" w:type="dxa"/>
            <w:noWrap/>
            <w:hideMark/>
          </w:tcPr>
          <w:p w14:paraId="46FF914C"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H063</w:t>
            </w:r>
          </w:p>
        </w:tc>
        <w:tc>
          <w:tcPr>
            <w:tcW w:w="198" w:type="dxa"/>
            <w:noWrap/>
            <w:hideMark/>
          </w:tcPr>
          <w:p w14:paraId="5575D851"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Huawei (Lili)</w:t>
            </w:r>
          </w:p>
        </w:tc>
        <w:tc>
          <w:tcPr>
            <w:tcW w:w="179" w:type="dxa"/>
            <w:noWrap/>
            <w:hideMark/>
          </w:tcPr>
          <w:p w14:paraId="24F86EB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69BD6EA0"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2349D6C7"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PropReject</w:t>
            </w:r>
          </w:p>
        </w:tc>
        <w:tc>
          <w:tcPr>
            <w:tcW w:w="2229" w:type="dxa"/>
            <w:noWrap/>
            <w:hideMark/>
          </w:tcPr>
          <w:p w14:paraId="62C16449"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Per our understanding and latest discussions in RAN2#124, RACH-less access in unchanged PCI is an intrisic part of the feature and it is  different from L3 RACH-less HO, which is indeed an optional feature.</w:t>
            </w:r>
          </w:p>
        </w:tc>
        <w:tc>
          <w:tcPr>
            <w:tcW w:w="1987" w:type="dxa"/>
            <w:noWrap/>
            <w:hideMark/>
          </w:tcPr>
          <w:p w14:paraId="3031361D"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RACH-less is an optional feature, it should not be assumed that RACH-less is supported for all UEs in unchanged PCI scenario.</w:t>
            </w:r>
          </w:p>
        </w:tc>
        <w:tc>
          <w:tcPr>
            <w:tcW w:w="4458" w:type="dxa"/>
            <w:gridSpan w:val="2"/>
            <w:noWrap/>
            <w:hideMark/>
          </w:tcPr>
          <w:p w14:paraId="6AF5B818"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 xml:space="preserve">RACH-less is defined as an optional feature (rachlessHandoverNTN-r18) in R18 NTN.  However, in the context of unchanged PCI, it is assumed that RACH-less is the default behaviour and no UE behaivor related to RACH is captured in the spec. One reason is that some company may consider this unchanged PCI as a purely MAC layer procedure and it is different from the L3 RACH-less HO. According to current 38.321, the satellite switch with re-synchronization requires the UE to set NTA to zero, which largely restricts the applicable scenarios of unchanged PCI.  We think the network should be able to control whether RACH is performed by the UE. PDCCH order is one of the options (as discussed in the previous meeting), but PDCCH order is also a UE dedicated signalling (which more or less mitigates the benefit of unchanged PCI in terms of signalling overhead) and requires contention free resources. Moreover, it should not be assumed that RACH-less is by default supported for all UEs, we are open for further discussion on whether an additional capability is needed for unchanged PCI without performing RACH, or the capability rachlessHandoverNTN-r18 can be reused in the </w:t>
            </w:r>
            <w:r w:rsidRPr="00E71BC9">
              <w:rPr>
                <w:rFonts w:ascii="Arial" w:eastAsia="Times New Roman" w:hAnsi="Arial" w:cs="Times New Roman"/>
                <w:sz w:val="20"/>
                <w:szCs w:val="20"/>
                <w:lang w:eastAsia="zh-CN"/>
              </w:rPr>
              <w:lastRenderedPageBreak/>
              <w:t>unchanged PCI case.  Solution:  NW is able to control whether RACH is performed during satellite switching. FFS on signalling (e.g. indication in SIB19, or indication in RRCReconfiguration which means this indication is piggybacked in previous RRCReconfiguration messages).  A TP will be provided in a separate Tdoc.</w:t>
            </w:r>
          </w:p>
        </w:tc>
      </w:tr>
      <w:tr w:rsidR="00E71BC9" w:rsidRPr="00E71BC9" w14:paraId="50DBA52E" w14:textId="77777777" w:rsidTr="00E71BC9">
        <w:trPr>
          <w:trHeight w:val="300"/>
        </w:trPr>
        <w:tc>
          <w:tcPr>
            <w:tcW w:w="69" w:type="dxa"/>
            <w:noWrap/>
            <w:hideMark/>
          </w:tcPr>
          <w:p w14:paraId="122E03D4"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H400</w:t>
            </w:r>
          </w:p>
        </w:tc>
        <w:tc>
          <w:tcPr>
            <w:tcW w:w="198" w:type="dxa"/>
            <w:noWrap/>
            <w:hideMark/>
          </w:tcPr>
          <w:p w14:paraId="0A558B99"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Huawei (Lili)</w:t>
            </w:r>
          </w:p>
        </w:tc>
        <w:tc>
          <w:tcPr>
            <w:tcW w:w="179" w:type="dxa"/>
            <w:noWrap/>
            <w:hideMark/>
          </w:tcPr>
          <w:p w14:paraId="0ED92D2C"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3CA6BA7D"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634D2E84"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ToDo</w:t>
            </w:r>
          </w:p>
        </w:tc>
        <w:tc>
          <w:tcPr>
            <w:tcW w:w="2229" w:type="dxa"/>
            <w:noWrap/>
            <w:hideMark/>
          </w:tcPr>
          <w:p w14:paraId="22FE6761"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Ericsson agrees with the solution proposed. It still needs further discussion.</w:t>
            </w:r>
          </w:p>
        </w:tc>
        <w:tc>
          <w:tcPr>
            <w:tcW w:w="1987" w:type="dxa"/>
            <w:noWrap/>
            <w:hideMark/>
          </w:tcPr>
          <w:p w14:paraId="14D0BD85"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Remove the Editor’s Note, condEventD2 only applies to the scenario where both source cell and candidate cells are moving cells</w:t>
            </w:r>
          </w:p>
        </w:tc>
        <w:tc>
          <w:tcPr>
            <w:tcW w:w="2229" w:type="dxa"/>
            <w:noWrap/>
            <w:hideMark/>
          </w:tcPr>
          <w:p w14:paraId="27036385"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The simplest way is that we only consider the scenario where both source cell and candidate cells are moving cells, otherwise R2 may need to add additional indication in ASN.1 about cell type of serving/target cell.</w:t>
            </w:r>
          </w:p>
        </w:tc>
        <w:tc>
          <w:tcPr>
            <w:tcW w:w="2229" w:type="dxa"/>
            <w:noWrap/>
            <w:hideMark/>
          </w:tcPr>
          <w:p w14:paraId="480DB4BD"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Agree with the solution proposed</w:t>
            </w:r>
          </w:p>
        </w:tc>
      </w:tr>
      <w:tr w:rsidR="00E71BC9" w:rsidRPr="00E71BC9" w14:paraId="0D78B3C6" w14:textId="77777777" w:rsidTr="00E71BC9">
        <w:trPr>
          <w:trHeight w:val="300"/>
        </w:trPr>
        <w:tc>
          <w:tcPr>
            <w:tcW w:w="69" w:type="dxa"/>
            <w:noWrap/>
            <w:hideMark/>
          </w:tcPr>
          <w:p w14:paraId="155CAC7B"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H790</w:t>
            </w:r>
          </w:p>
        </w:tc>
        <w:tc>
          <w:tcPr>
            <w:tcW w:w="198" w:type="dxa"/>
            <w:noWrap/>
            <w:hideMark/>
          </w:tcPr>
          <w:p w14:paraId="1F51AB33"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Huawei (Lili)</w:t>
            </w:r>
          </w:p>
        </w:tc>
        <w:tc>
          <w:tcPr>
            <w:tcW w:w="179" w:type="dxa"/>
            <w:noWrap/>
            <w:hideMark/>
          </w:tcPr>
          <w:p w14:paraId="1B218611"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7020F90A"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3BFEDDA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PropReject</w:t>
            </w:r>
          </w:p>
        </w:tc>
        <w:tc>
          <w:tcPr>
            <w:tcW w:w="2229" w:type="dxa"/>
            <w:noWrap/>
            <w:hideMark/>
          </w:tcPr>
          <w:p w14:paraId="3B8B4F87"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We do not think this is necessary. Unchanged PCI is an autonomous procedure which does not require network configuration. Thus, L3 event triggers are not affected.</w:t>
            </w:r>
          </w:p>
        </w:tc>
        <w:tc>
          <w:tcPr>
            <w:tcW w:w="1987" w:type="dxa"/>
            <w:noWrap/>
            <w:hideMark/>
          </w:tcPr>
          <w:p w14:paraId="6A76B66C"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It is unclear whether the unchanged PCI cell served by the incoming satellite can trigger events A1~A6</w:t>
            </w:r>
          </w:p>
        </w:tc>
        <w:tc>
          <w:tcPr>
            <w:tcW w:w="2229" w:type="dxa"/>
            <w:noWrap/>
            <w:hideMark/>
          </w:tcPr>
          <w:p w14:paraId="674138E7"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 xml:space="preserve">For the unchanged PCI cell served by the incoming satellite (the cell is called cell-new-sat here for simplicity):  A6: irrelevant since there is no CA in NTN  A4: cell-new-sat can trigger A4, and it should be viewed as “neighbour cell in A4”  A1/2: cell-new-sat should not trigger A1/2 because strictly speaking it is not “serving cell” for the moment  A3/A5: it is feasible for cell-new-sat to trigger A3/A5, but we do not see the need, because the cell-new-sat will replace the current serving cell and this action only depends on the absolute quality of cell-new-sat not the relative quality compared with the current serving cell.  Solution: Clarify in procedure text that in event A4, </w:t>
            </w:r>
            <w:r w:rsidRPr="00E71BC9">
              <w:rPr>
                <w:rFonts w:ascii="Arial" w:eastAsia="Times New Roman" w:hAnsi="Arial" w:cs="Times New Roman"/>
                <w:sz w:val="20"/>
                <w:szCs w:val="20"/>
                <w:lang w:eastAsia="zh-CN"/>
              </w:rPr>
              <w:lastRenderedPageBreak/>
              <w:t>unchanged PCI cell served by the incoming satellite is viewed as neighbour cell</w:t>
            </w:r>
          </w:p>
        </w:tc>
        <w:tc>
          <w:tcPr>
            <w:tcW w:w="2229" w:type="dxa"/>
            <w:noWrap/>
            <w:hideMark/>
          </w:tcPr>
          <w:p w14:paraId="4C30F6CB"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[Ericsson - Ignacio] We do not think this is necessary. Unchanged PCI is an autonomous procedure which does not require network configuration. Thus, L3 event triggers are not affected.</w:t>
            </w:r>
          </w:p>
        </w:tc>
      </w:tr>
      <w:tr w:rsidR="00E71BC9" w:rsidRPr="00E71BC9" w14:paraId="2AB36130" w14:textId="77777777" w:rsidTr="00E71BC9">
        <w:trPr>
          <w:trHeight w:val="300"/>
        </w:trPr>
        <w:tc>
          <w:tcPr>
            <w:tcW w:w="69" w:type="dxa"/>
            <w:noWrap/>
            <w:hideMark/>
          </w:tcPr>
          <w:p w14:paraId="6A95673A"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H791</w:t>
            </w:r>
          </w:p>
        </w:tc>
        <w:tc>
          <w:tcPr>
            <w:tcW w:w="198" w:type="dxa"/>
            <w:noWrap/>
            <w:hideMark/>
          </w:tcPr>
          <w:p w14:paraId="00A61409"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Huawei (Lili)</w:t>
            </w:r>
          </w:p>
        </w:tc>
        <w:tc>
          <w:tcPr>
            <w:tcW w:w="179" w:type="dxa"/>
            <w:noWrap/>
            <w:hideMark/>
          </w:tcPr>
          <w:p w14:paraId="7E5B4953"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0F18EDDE"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4A6A0E47"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PropReject</w:t>
            </w:r>
          </w:p>
        </w:tc>
        <w:tc>
          <w:tcPr>
            <w:tcW w:w="2229" w:type="dxa"/>
            <w:noWrap/>
            <w:hideMark/>
          </w:tcPr>
          <w:p w14:paraId="61B28F36"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As discussed in RAN2#124, the concept of SMTC for unchanged PCI does not apply since SMTC for the serving cell does not really exist. SMTCs is only used for neighboring cells and needs to be updated after the switch by the network, as it does in legacy for any RRC_CONNECTED mode UE. The information in ssbOffset (SIB19) was deemed enough for the UE to located in time and identify the SSBs from the incoming satellite given ssbIndex does not need to change due to the time difference mechanism. Thus, we don't think a change is necessary.</w:t>
            </w:r>
          </w:p>
        </w:tc>
        <w:tc>
          <w:tcPr>
            <w:tcW w:w="1987" w:type="dxa"/>
            <w:noWrap/>
            <w:hideMark/>
          </w:tcPr>
          <w:p w14:paraId="1A2CE728"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Serving cell PCI may appear twice in SMTC in unchanged PCI mechanism</w:t>
            </w:r>
          </w:p>
        </w:tc>
        <w:tc>
          <w:tcPr>
            <w:tcW w:w="2229" w:type="dxa"/>
            <w:noWrap/>
            <w:hideMark/>
          </w:tcPr>
          <w:p w14:paraId="47ACA985"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 xml:space="preserve">To perform intra-frequency measurements towards the unchanged PCI cell, SMTC window needs to cover the SSB of this cell. In R17 RAN2 allowed configuring at most 4 SMTCs in a MeasObjectNR, via smtc4list-r17. In case of soft switching for unchanged PCI, the unchanged PCI cell of incoming satellite is likely to be in a different SMTC with the serving satellite SMTC (considering that the SMTC window spans at most 5ms). From UE side, the UE needs to differentiate which SMTC is for the current serving cell and which SMTC is for the incoming cell, because the measurement results for these two cells (with same PCI) are placed in different IEs, and their role in the event triggering evaluation is different.  Solution: Use an identifier to indicate which SMTC of the SMTC4List is for the unchanged PCI cell served by the incoming satellite An alternative is to add a separate SMTC IE for unchanged PCI, and it will take up one SMTC of the maximum </w:t>
            </w:r>
            <w:r w:rsidRPr="00E71BC9">
              <w:rPr>
                <w:rFonts w:ascii="Arial" w:eastAsia="Times New Roman" w:hAnsi="Arial" w:cs="Times New Roman"/>
                <w:sz w:val="20"/>
                <w:szCs w:val="20"/>
                <w:lang w:eastAsia="zh-CN"/>
              </w:rPr>
              <w:lastRenderedPageBreak/>
              <w:t>number of SMTCs supported per frequency by the UE.</w:t>
            </w:r>
          </w:p>
        </w:tc>
        <w:tc>
          <w:tcPr>
            <w:tcW w:w="2229" w:type="dxa"/>
            <w:noWrap/>
            <w:hideMark/>
          </w:tcPr>
          <w:p w14:paraId="45F031CD"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[Ericsson - Ignacio] As discussed in RAN2#124, the concept of SMTC for unchanged PCI does not apply since SMTC for the serving cell does not really exist. SMTCs is only used for neighboring cells and needs to be updated after the switch by the network, as it does in legacy for any RRC_CONNECTED mode UE. The information in ssbOffset (SIB19) was deemed enough for the UE to located in time and identify the SSBs from the incoming satellite given ssbIndex does not need to change due to the time difference mechanism. Thus, we don't think a change is necessary.</w:t>
            </w:r>
          </w:p>
        </w:tc>
      </w:tr>
      <w:tr w:rsidR="00E71BC9" w:rsidRPr="00E71BC9" w14:paraId="3F320F44" w14:textId="77777777" w:rsidTr="00E71BC9">
        <w:trPr>
          <w:trHeight w:val="300"/>
        </w:trPr>
        <w:tc>
          <w:tcPr>
            <w:tcW w:w="69" w:type="dxa"/>
            <w:noWrap/>
            <w:hideMark/>
          </w:tcPr>
          <w:p w14:paraId="3EA42E80"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H792</w:t>
            </w:r>
          </w:p>
        </w:tc>
        <w:tc>
          <w:tcPr>
            <w:tcW w:w="198" w:type="dxa"/>
            <w:noWrap/>
            <w:hideMark/>
          </w:tcPr>
          <w:p w14:paraId="3B98C9F4"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Huawei (Lili)</w:t>
            </w:r>
          </w:p>
        </w:tc>
        <w:tc>
          <w:tcPr>
            <w:tcW w:w="179" w:type="dxa"/>
            <w:noWrap/>
            <w:hideMark/>
          </w:tcPr>
          <w:p w14:paraId="6F886D3B"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5FD3573C"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49C67ABA"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ToDo</w:t>
            </w:r>
          </w:p>
        </w:tc>
        <w:tc>
          <w:tcPr>
            <w:tcW w:w="2229" w:type="dxa"/>
            <w:noWrap/>
            <w:hideMark/>
          </w:tcPr>
          <w:p w14:paraId="5E5F1AEB"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We agree measurements in unchanged PCI should be further discussed. In our view, the serving cell does not really change, what changes in this scenario is the service link. Thus, measuremet results are of the serving cell.</w:t>
            </w:r>
          </w:p>
        </w:tc>
        <w:tc>
          <w:tcPr>
            <w:tcW w:w="1987" w:type="dxa"/>
            <w:noWrap/>
            <w:hideMark/>
          </w:tcPr>
          <w:p w14:paraId="0198920D"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It is unclear whether the measurement result of the unchanged PCI cell served by the incoming satellite is included in MeasResultServMOList or MeasResultListNR</w:t>
            </w:r>
          </w:p>
        </w:tc>
        <w:tc>
          <w:tcPr>
            <w:tcW w:w="2229" w:type="dxa"/>
            <w:noWrap/>
            <w:hideMark/>
          </w:tcPr>
          <w:p w14:paraId="5527A6AE"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There are different options: Option1: Included in neighbour cell measurement result list.  A related issue is that, if the cell quality of the unchanged PCI cell is not within the best maxReportCells cells on the frequency, whether to include it. We think it should be included because the measurement result is important for the network to make mobility decisions.  Option 2: Add a new IE for reporting unchanged PCI cell served by the incoming satellite.  Option 2 is cleaner.  The text proposals will be provided in a separate paper.</w:t>
            </w:r>
          </w:p>
        </w:tc>
        <w:tc>
          <w:tcPr>
            <w:tcW w:w="2229" w:type="dxa"/>
            <w:noWrap/>
            <w:hideMark/>
          </w:tcPr>
          <w:p w14:paraId="6D32569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We agree measurements in unchanged PCI should be further discussed. In our view, the serving cell does not really change, what changes in this scenario is the service link. Thus, measuremet results are of the serving cell.</w:t>
            </w:r>
          </w:p>
        </w:tc>
      </w:tr>
      <w:tr w:rsidR="00E71BC9" w:rsidRPr="00E71BC9" w14:paraId="41A4CBBF" w14:textId="77777777" w:rsidTr="00E71BC9">
        <w:trPr>
          <w:trHeight w:val="300"/>
        </w:trPr>
        <w:tc>
          <w:tcPr>
            <w:tcW w:w="69" w:type="dxa"/>
            <w:noWrap/>
            <w:hideMark/>
          </w:tcPr>
          <w:p w14:paraId="7E808721"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I118</w:t>
            </w:r>
          </w:p>
        </w:tc>
        <w:tc>
          <w:tcPr>
            <w:tcW w:w="198" w:type="dxa"/>
            <w:noWrap/>
            <w:hideMark/>
          </w:tcPr>
          <w:p w14:paraId="23CCFE9E"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Intel (Sudeep)</w:t>
            </w:r>
          </w:p>
        </w:tc>
        <w:tc>
          <w:tcPr>
            <w:tcW w:w="179" w:type="dxa"/>
            <w:noWrap/>
            <w:hideMark/>
          </w:tcPr>
          <w:p w14:paraId="0A50B02B"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54832102"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45963D31"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PropAgree</w:t>
            </w:r>
          </w:p>
        </w:tc>
        <w:tc>
          <w:tcPr>
            <w:tcW w:w="2229" w:type="dxa"/>
            <w:noWrap/>
            <w:hideMark/>
          </w:tcPr>
          <w:p w14:paraId="2FB6571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We agree. It can be addressed in the Rapp CR.</w:t>
            </w:r>
          </w:p>
        </w:tc>
        <w:tc>
          <w:tcPr>
            <w:tcW w:w="1987" w:type="dxa"/>
            <w:noWrap/>
            <w:hideMark/>
          </w:tcPr>
          <w:p w14:paraId="0138FD55"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This is a one shot field.  There is no need for a Need code for absence.</w:t>
            </w:r>
          </w:p>
        </w:tc>
        <w:tc>
          <w:tcPr>
            <w:tcW w:w="2229" w:type="dxa"/>
            <w:noWrap/>
            <w:hideMark/>
          </w:tcPr>
          <w:p w14:paraId="025B5AC8"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Delete the Need code for absence.</w:t>
            </w:r>
          </w:p>
        </w:tc>
        <w:tc>
          <w:tcPr>
            <w:tcW w:w="2229" w:type="dxa"/>
            <w:noWrap/>
            <w:hideMark/>
          </w:tcPr>
          <w:p w14:paraId="05B66747"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We agree. It can be addressed in the Rapp CR.</w:t>
            </w:r>
          </w:p>
        </w:tc>
      </w:tr>
      <w:tr w:rsidR="00E71BC9" w:rsidRPr="00E71BC9" w14:paraId="0FF071AC" w14:textId="77777777" w:rsidTr="00E71BC9">
        <w:trPr>
          <w:trHeight w:val="300"/>
        </w:trPr>
        <w:tc>
          <w:tcPr>
            <w:tcW w:w="69" w:type="dxa"/>
            <w:noWrap/>
            <w:hideMark/>
          </w:tcPr>
          <w:p w14:paraId="6A292B62"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I135</w:t>
            </w:r>
          </w:p>
        </w:tc>
        <w:tc>
          <w:tcPr>
            <w:tcW w:w="198" w:type="dxa"/>
            <w:noWrap/>
            <w:hideMark/>
          </w:tcPr>
          <w:p w14:paraId="48723CE5"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Intel (Sudeep)</w:t>
            </w:r>
          </w:p>
        </w:tc>
        <w:tc>
          <w:tcPr>
            <w:tcW w:w="179" w:type="dxa"/>
            <w:noWrap/>
            <w:hideMark/>
          </w:tcPr>
          <w:p w14:paraId="6197056A"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79B7A6B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1584D52A"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PropReject</w:t>
            </w:r>
          </w:p>
        </w:tc>
        <w:tc>
          <w:tcPr>
            <w:tcW w:w="2229" w:type="dxa"/>
            <w:noWrap/>
            <w:hideMark/>
          </w:tcPr>
          <w:p w14:paraId="23F275C4"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Not necessarily, please see in other parts of the specification.</w:t>
            </w:r>
          </w:p>
        </w:tc>
        <w:tc>
          <w:tcPr>
            <w:tcW w:w="1987" w:type="dxa"/>
            <w:noWrap/>
            <w:hideMark/>
          </w:tcPr>
          <w:p w14:paraId="279C9AF3"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Parent field is Need N.  All these fields should be Need N</w:t>
            </w:r>
          </w:p>
        </w:tc>
        <w:tc>
          <w:tcPr>
            <w:tcW w:w="2229" w:type="dxa"/>
            <w:noWrap/>
            <w:hideMark/>
          </w:tcPr>
          <w:p w14:paraId="3DF11F57"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Change all these Need M fields to Need N.</w:t>
            </w:r>
          </w:p>
        </w:tc>
        <w:tc>
          <w:tcPr>
            <w:tcW w:w="2229" w:type="dxa"/>
            <w:noWrap/>
            <w:hideMark/>
          </w:tcPr>
          <w:p w14:paraId="664C15E2"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Not necessarily, please refer to other parts of the specification.</w:t>
            </w:r>
          </w:p>
        </w:tc>
      </w:tr>
      <w:tr w:rsidR="00E71BC9" w:rsidRPr="00E71BC9" w14:paraId="079E9565" w14:textId="77777777" w:rsidTr="00E71BC9">
        <w:trPr>
          <w:trHeight w:val="300"/>
        </w:trPr>
        <w:tc>
          <w:tcPr>
            <w:tcW w:w="69" w:type="dxa"/>
            <w:noWrap/>
            <w:hideMark/>
          </w:tcPr>
          <w:p w14:paraId="16457C8C"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K003</w:t>
            </w:r>
          </w:p>
        </w:tc>
        <w:tc>
          <w:tcPr>
            <w:tcW w:w="198" w:type="dxa"/>
            <w:noWrap/>
            <w:hideMark/>
          </w:tcPr>
          <w:p w14:paraId="02C7CF05"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ASUSTeK (Erica)</w:t>
            </w:r>
          </w:p>
        </w:tc>
        <w:tc>
          <w:tcPr>
            <w:tcW w:w="179" w:type="dxa"/>
            <w:noWrap/>
            <w:hideMark/>
          </w:tcPr>
          <w:p w14:paraId="465DA338"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114B823A"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18CF9E40"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ToDo</w:t>
            </w:r>
          </w:p>
        </w:tc>
        <w:tc>
          <w:tcPr>
            <w:tcW w:w="2229" w:type="dxa"/>
            <w:noWrap/>
            <w:hideMark/>
          </w:tcPr>
          <w:p w14:paraId="6FF6B30C"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 xml:space="preserve">[Ericsson - Ignacio] We agree this might be an issue. It should be further discussed online what is the </w:t>
            </w:r>
            <w:r w:rsidRPr="00E71BC9">
              <w:rPr>
                <w:rFonts w:ascii="Arial" w:eastAsia="Times New Roman" w:hAnsi="Arial" w:cs="Times New Roman"/>
                <w:sz w:val="20"/>
                <w:szCs w:val="20"/>
                <w:lang w:eastAsia="zh-CN"/>
              </w:rPr>
              <w:lastRenderedPageBreak/>
              <w:t>expected behaviour in RRC_IDLE during the unchanged PCI switch.</w:t>
            </w:r>
          </w:p>
        </w:tc>
        <w:tc>
          <w:tcPr>
            <w:tcW w:w="1987" w:type="dxa"/>
            <w:noWrap/>
            <w:hideMark/>
          </w:tcPr>
          <w:p w14:paraId="663FBD3B"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 xml:space="preserve">The SatSwitchWithReSync received in RRC_IDLE would not </w:t>
            </w:r>
            <w:r w:rsidRPr="00E71BC9">
              <w:rPr>
                <w:rFonts w:ascii="Arial" w:eastAsia="Times New Roman" w:hAnsi="Arial" w:cs="Times New Roman"/>
                <w:sz w:val="20"/>
                <w:szCs w:val="20"/>
                <w:lang w:eastAsia="zh-CN"/>
              </w:rPr>
              <w:lastRenderedPageBreak/>
              <w:t>be applied in RRC_CONNECTED.</w:t>
            </w:r>
          </w:p>
        </w:tc>
        <w:tc>
          <w:tcPr>
            <w:tcW w:w="4458" w:type="dxa"/>
            <w:gridSpan w:val="2"/>
            <w:noWrap/>
            <w:hideMark/>
          </w:tcPr>
          <w:p w14:paraId="364B7399"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 xml:space="preserve">If the UE receives SIB19 in RRC_IDLE and then enters RRC_CONNECTED, the UE would not perform the satellite switch with resynchronization at t-Service since it is not in RRC_CONNECTED at the time of SIB19 reception. Solution: Upon receiving SIB19 in an NTN cell, </w:t>
            </w:r>
            <w:r w:rsidRPr="00E71BC9">
              <w:rPr>
                <w:rFonts w:ascii="Arial" w:eastAsia="Times New Roman" w:hAnsi="Arial" w:cs="Times New Roman"/>
                <w:sz w:val="20"/>
                <w:szCs w:val="20"/>
                <w:lang w:eastAsia="zh-CN"/>
              </w:rPr>
              <w:lastRenderedPageBreak/>
              <w:t>the UE in RRC_CONNECTED shall: 1&gt;  if the UE is in RRC_CONNECTED: 2&gt; start or restart T430 for serving cell with the timer value set to ntn-UlSyncValidityDuration for the serving cell from the subframe indicated by epochTime for the serving cell; 1&gt;  if satSwitchWithReSync and t-Service are included, and the UE supports hard satellite switch with resynchronization: 2&gt; if t-ServiceStart is included and the UE supports soft satellite switch with resynchronization: 3&gt;  if the UE is in RRC_CONNECTED after the time indicated by t-ServiceStart: 4&gt; perform the satellite switch with resynchronization as specified in 5.7.19 between the time indicated by t-ServiceStart and the time indicated by t-Service for the serving cell. 2&gt; else: 3&gt;  if the UE is in RRC_CONNECTED at the time indicated by t-Service: 4&gt; perform the satellite switch with resynchronization as specified in 5.7.19 at the time indicated by t-Service for the serving cell.</w:t>
            </w:r>
          </w:p>
        </w:tc>
      </w:tr>
      <w:tr w:rsidR="00E71BC9" w:rsidRPr="00E71BC9" w14:paraId="3AE1020B" w14:textId="77777777" w:rsidTr="00E71BC9">
        <w:trPr>
          <w:trHeight w:val="300"/>
        </w:trPr>
        <w:tc>
          <w:tcPr>
            <w:tcW w:w="69" w:type="dxa"/>
            <w:noWrap/>
            <w:hideMark/>
          </w:tcPr>
          <w:p w14:paraId="69D5EAE0"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K004</w:t>
            </w:r>
          </w:p>
        </w:tc>
        <w:tc>
          <w:tcPr>
            <w:tcW w:w="198" w:type="dxa"/>
            <w:noWrap/>
            <w:hideMark/>
          </w:tcPr>
          <w:p w14:paraId="4EA09380"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ASUSTeK (Erica)</w:t>
            </w:r>
          </w:p>
        </w:tc>
        <w:tc>
          <w:tcPr>
            <w:tcW w:w="179" w:type="dxa"/>
            <w:noWrap/>
            <w:hideMark/>
          </w:tcPr>
          <w:p w14:paraId="01478692"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30024630"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624B6D4A"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PropReject</w:t>
            </w:r>
          </w:p>
        </w:tc>
        <w:tc>
          <w:tcPr>
            <w:tcW w:w="2229" w:type="dxa"/>
            <w:noWrap/>
            <w:hideMark/>
          </w:tcPr>
          <w:p w14:paraId="02AC8AAA"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We don't think this clarification is needed. It is not expected from a proper UE implementation to execute two mobility procedures simultaneously.</w:t>
            </w:r>
          </w:p>
        </w:tc>
        <w:tc>
          <w:tcPr>
            <w:tcW w:w="1987" w:type="dxa"/>
            <w:noWrap/>
            <w:hideMark/>
          </w:tcPr>
          <w:p w14:paraId="30503E3A"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Agreements related to (C)HO procedure are not captured.</w:t>
            </w:r>
          </w:p>
        </w:tc>
        <w:tc>
          <w:tcPr>
            <w:tcW w:w="2229" w:type="dxa"/>
            <w:noWrap/>
            <w:hideMark/>
          </w:tcPr>
          <w:p w14:paraId="116FFFD5"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 xml:space="preserve">Agreements: "If UE receive the HO command before UE initiates the satellite switching procedure (i.e. before the time point of satellite switching), UE will initiate the HO procedure immediately." and "When both CHO (for a different cell) and satellite switching procedure are configured, the UE initiates the procedure that triggers earlier." are not reflected in the spec. When there is running (C)HO procedure, the UE should not perform satellite switching. Solution: Add “if the timer T304 is not running” in the end of the </w:t>
            </w:r>
            <w:r w:rsidRPr="00E71BC9">
              <w:rPr>
                <w:rFonts w:ascii="Arial" w:eastAsia="Times New Roman" w:hAnsi="Arial" w:cs="Times New Roman"/>
                <w:sz w:val="20"/>
                <w:szCs w:val="20"/>
                <w:lang w:eastAsia="zh-CN"/>
              </w:rPr>
              <w:lastRenderedPageBreak/>
              <w:t>sentences “perform the satellite switch with resynchronization…”.</w:t>
            </w:r>
          </w:p>
        </w:tc>
        <w:tc>
          <w:tcPr>
            <w:tcW w:w="2229" w:type="dxa"/>
            <w:noWrap/>
            <w:hideMark/>
          </w:tcPr>
          <w:p w14:paraId="10B640C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[Ericsson - Ignacio] We don't think this clarification is needed. It is not expected from a proper UE implementation to execute two mobility procedures simultaneously.</w:t>
            </w:r>
          </w:p>
        </w:tc>
      </w:tr>
      <w:tr w:rsidR="00E71BC9" w:rsidRPr="00E71BC9" w14:paraId="04BFF691" w14:textId="77777777" w:rsidTr="00E71BC9">
        <w:trPr>
          <w:trHeight w:val="300"/>
        </w:trPr>
        <w:tc>
          <w:tcPr>
            <w:tcW w:w="69" w:type="dxa"/>
            <w:noWrap/>
            <w:hideMark/>
          </w:tcPr>
          <w:p w14:paraId="6518265A"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O600</w:t>
            </w:r>
          </w:p>
        </w:tc>
        <w:tc>
          <w:tcPr>
            <w:tcW w:w="198" w:type="dxa"/>
            <w:noWrap/>
            <w:hideMark/>
          </w:tcPr>
          <w:p w14:paraId="6A843A09"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OPPO (Haitao)</w:t>
            </w:r>
          </w:p>
        </w:tc>
        <w:tc>
          <w:tcPr>
            <w:tcW w:w="179" w:type="dxa"/>
            <w:noWrap/>
            <w:hideMark/>
          </w:tcPr>
          <w:p w14:paraId="6DB36853"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16B61810"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62C5E478"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PropReject</w:t>
            </w:r>
          </w:p>
        </w:tc>
        <w:tc>
          <w:tcPr>
            <w:tcW w:w="2229" w:type="dxa"/>
            <w:noWrap/>
            <w:hideMark/>
          </w:tcPr>
          <w:p w14:paraId="5CDAB472"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Ericsson disagrees. It can be clarified that present text refers to NTN serving cell, but there should not be a different understanding for epochTime when SIB19 is provided in TN cell.</w:t>
            </w:r>
          </w:p>
        </w:tc>
        <w:tc>
          <w:tcPr>
            <w:tcW w:w="1987" w:type="dxa"/>
            <w:noWrap/>
            <w:hideMark/>
          </w:tcPr>
          <w:p w14:paraId="4D4965FC"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this is not correct for TN serving cell as there is no epoch time for a TN cell</w:t>
            </w:r>
          </w:p>
        </w:tc>
        <w:tc>
          <w:tcPr>
            <w:tcW w:w="2229" w:type="dxa"/>
            <w:noWrap/>
            <w:hideMark/>
          </w:tcPr>
          <w:p w14:paraId="13DA55F5"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change the field description to differentiate cases of the TN serving cell and NTN serving cell. We will bring a contribution on this.</w:t>
            </w:r>
          </w:p>
        </w:tc>
        <w:tc>
          <w:tcPr>
            <w:tcW w:w="2229" w:type="dxa"/>
            <w:noWrap/>
            <w:hideMark/>
          </w:tcPr>
          <w:p w14:paraId="3A205093"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Ericsson disagrees. It can be clarified that present text refers to NTN serving cell, but there should not be a different understanding for epochTime when SIB19 is provided in TN cell</w:t>
            </w:r>
          </w:p>
        </w:tc>
      </w:tr>
      <w:tr w:rsidR="00E71BC9" w:rsidRPr="00E71BC9" w14:paraId="2DD9C323" w14:textId="77777777" w:rsidTr="00E71BC9">
        <w:trPr>
          <w:trHeight w:val="300"/>
        </w:trPr>
        <w:tc>
          <w:tcPr>
            <w:tcW w:w="69" w:type="dxa"/>
            <w:noWrap/>
            <w:hideMark/>
          </w:tcPr>
          <w:p w14:paraId="5362C003"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O601</w:t>
            </w:r>
          </w:p>
        </w:tc>
        <w:tc>
          <w:tcPr>
            <w:tcW w:w="198" w:type="dxa"/>
            <w:noWrap/>
            <w:hideMark/>
          </w:tcPr>
          <w:p w14:paraId="0E6D1ACB"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OPPO (Haitao)</w:t>
            </w:r>
          </w:p>
        </w:tc>
        <w:tc>
          <w:tcPr>
            <w:tcW w:w="179" w:type="dxa"/>
            <w:noWrap/>
            <w:hideMark/>
          </w:tcPr>
          <w:p w14:paraId="0AA9A036"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2873EF84"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2</w:t>
            </w:r>
          </w:p>
        </w:tc>
        <w:tc>
          <w:tcPr>
            <w:tcW w:w="172" w:type="dxa"/>
            <w:shd w:val="clear" w:color="auto" w:fill="E2EFD9" w:themeFill="accent6" w:themeFillTint="33"/>
            <w:noWrap/>
            <w:hideMark/>
          </w:tcPr>
          <w:p w14:paraId="02B861C4"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PropReject</w:t>
            </w:r>
          </w:p>
        </w:tc>
        <w:tc>
          <w:tcPr>
            <w:tcW w:w="2229" w:type="dxa"/>
            <w:noWrap/>
            <w:hideMark/>
          </w:tcPr>
          <w:p w14:paraId="768B4244"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Ephemeris information is present in the MO associated with the conditional event.</w:t>
            </w:r>
          </w:p>
        </w:tc>
        <w:tc>
          <w:tcPr>
            <w:tcW w:w="1987" w:type="dxa"/>
            <w:noWrap/>
            <w:hideMark/>
          </w:tcPr>
          <w:p w14:paraId="577A0F09"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for EMC CHO, reference location is moving and UE needs to derive the moving reference location based on NW-configured referencelocation and ephemeris information. However, the ephemeris information is missing in the event configuration. this makes the configured referencelocation1/2 alone not working.</w:t>
            </w:r>
          </w:p>
        </w:tc>
        <w:tc>
          <w:tcPr>
            <w:tcW w:w="2229" w:type="dxa"/>
            <w:noWrap/>
            <w:hideMark/>
          </w:tcPr>
          <w:p w14:paraId="009F9F12"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add corresponding fields for serving cell and neighbour cell’s epoch time and ephemeris information in the event configuration. We will bring a contribution on this.</w:t>
            </w:r>
          </w:p>
        </w:tc>
        <w:tc>
          <w:tcPr>
            <w:tcW w:w="2229" w:type="dxa"/>
            <w:noWrap/>
            <w:hideMark/>
          </w:tcPr>
          <w:p w14:paraId="06A61E01"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Ephemeris information is present in the MO associated with the conditional event.</w:t>
            </w:r>
          </w:p>
        </w:tc>
      </w:tr>
      <w:tr w:rsidR="00E71BC9" w:rsidRPr="00E71BC9" w14:paraId="4578EE66" w14:textId="77777777" w:rsidTr="00E71BC9">
        <w:trPr>
          <w:trHeight w:val="300"/>
        </w:trPr>
        <w:tc>
          <w:tcPr>
            <w:tcW w:w="69" w:type="dxa"/>
            <w:noWrap/>
            <w:hideMark/>
          </w:tcPr>
          <w:p w14:paraId="161FF296"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O602</w:t>
            </w:r>
          </w:p>
        </w:tc>
        <w:tc>
          <w:tcPr>
            <w:tcW w:w="198" w:type="dxa"/>
            <w:noWrap/>
            <w:hideMark/>
          </w:tcPr>
          <w:p w14:paraId="62AA2903"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OPPO (Haitao)</w:t>
            </w:r>
          </w:p>
        </w:tc>
        <w:tc>
          <w:tcPr>
            <w:tcW w:w="179" w:type="dxa"/>
            <w:noWrap/>
            <w:hideMark/>
          </w:tcPr>
          <w:p w14:paraId="34F44958"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1AAE90A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2</w:t>
            </w:r>
          </w:p>
        </w:tc>
        <w:tc>
          <w:tcPr>
            <w:tcW w:w="172" w:type="dxa"/>
            <w:shd w:val="clear" w:color="auto" w:fill="E2EFD9" w:themeFill="accent6" w:themeFillTint="33"/>
            <w:noWrap/>
            <w:hideMark/>
          </w:tcPr>
          <w:p w14:paraId="35F149A4"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PropReject</w:t>
            </w:r>
          </w:p>
        </w:tc>
        <w:tc>
          <w:tcPr>
            <w:tcW w:w="2229" w:type="dxa"/>
            <w:noWrap/>
            <w:hideMark/>
          </w:tcPr>
          <w:p w14:paraId="04A2D7AC"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 xml:space="preserve">[Ericsson - Ignacio] The change implements an </w:t>
            </w:r>
            <w:r w:rsidRPr="00E71BC9">
              <w:rPr>
                <w:rFonts w:ascii="Arial" w:eastAsia="Times New Roman" w:hAnsi="Arial" w:cs="Times New Roman"/>
                <w:sz w:val="20"/>
                <w:szCs w:val="20"/>
                <w:lang w:eastAsia="zh-CN"/>
              </w:rPr>
              <w:lastRenderedPageBreak/>
              <w:t>agreement and reflects the discussion in RAN2#124. We prefer not to re-open the discussion.</w:t>
            </w:r>
          </w:p>
        </w:tc>
        <w:tc>
          <w:tcPr>
            <w:tcW w:w="1987" w:type="dxa"/>
            <w:noWrap/>
            <w:hideMark/>
          </w:tcPr>
          <w:p w14:paraId="763892B6"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 xml:space="preserve">SSB time offset is not needed, because network can manage </w:t>
            </w:r>
            <w:r w:rsidRPr="00E71BC9">
              <w:rPr>
                <w:rFonts w:ascii="Arial" w:eastAsia="Times New Roman" w:hAnsi="Arial" w:cs="Times New Roman"/>
                <w:sz w:val="20"/>
                <w:szCs w:val="20"/>
                <w:lang w:eastAsia="zh-CN"/>
              </w:rPr>
              <w:lastRenderedPageBreak/>
              <w:t>the RP of source satellite and target satellite by configuring different Kmac. UE can determine the SSB time offset based on network configuration.</w:t>
            </w:r>
          </w:p>
        </w:tc>
        <w:tc>
          <w:tcPr>
            <w:tcW w:w="2229" w:type="dxa"/>
            <w:noWrap/>
            <w:hideMark/>
          </w:tcPr>
          <w:p w14:paraId="736136EA"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remove the field of ssb-TimeOffset-r18. We’ll bring a contribution on this.</w:t>
            </w:r>
          </w:p>
        </w:tc>
        <w:tc>
          <w:tcPr>
            <w:tcW w:w="2229" w:type="dxa"/>
            <w:noWrap/>
            <w:hideMark/>
          </w:tcPr>
          <w:p w14:paraId="7384B74D"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p>
        </w:tc>
      </w:tr>
      <w:tr w:rsidR="00E71BC9" w:rsidRPr="00E71BC9" w14:paraId="7E10A5CA" w14:textId="77777777" w:rsidTr="00E71BC9">
        <w:trPr>
          <w:trHeight w:val="300"/>
        </w:trPr>
        <w:tc>
          <w:tcPr>
            <w:tcW w:w="69" w:type="dxa"/>
            <w:noWrap/>
            <w:hideMark/>
          </w:tcPr>
          <w:p w14:paraId="4B5E8869"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Q571</w:t>
            </w:r>
          </w:p>
        </w:tc>
        <w:tc>
          <w:tcPr>
            <w:tcW w:w="198" w:type="dxa"/>
            <w:noWrap/>
            <w:hideMark/>
          </w:tcPr>
          <w:p w14:paraId="04A3F752"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QC (Umesh)</w:t>
            </w:r>
          </w:p>
        </w:tc>
        <w:tc>
          <w:tcPr>
            <w:tcW w:w="179" w:type="dxa"/>
            <w:noWrap/>
            <w:hideMark/>
          </w:tcPr>
          <w:p w14:paraId="2153A9BB"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21A33377"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0CFA2F7B"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PropReject</w:t>
            </w:r>
          </w:p>
        </w:tc>
        <w:tc>
          <w:tcPr>
            <w:tcW w:w="2229" w:type="dxa"/>
            <w:noWrap/>
            <w:hideMark/>
          </w:tcPr>
          <w:p w14:paraId="74FC2D97"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As agreed in the endorsed procedure, the satellite that will become serving after the switch is included in satSwitchWithReSync IE and not in the neighbour cell list.</w:t>
            </w:r>
          </w:p>
        </w:tc>
        <w:tc>
          <w:tcPr>
            <w:tcW w:w="1987" w:type="dxa"/>
            <w:noWrap/>
            <w:hideMark/>
          </w:tcPr>
          <w:p w14:paraId="096DE4A2"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During satellite switch with resynchronization, it is possible one of the neighbor satellite in neighCellInfoList becomes a current service satellite. In this case, it is not clear if UE should execute the initiation of PDD between same satellite. In this case it may be better the UE reports PDD of the current and old satellite.</w:t>
            </w:r>
          </w:p>
        </w:tc>
        <w:tc>
          <w:tcPr>
            <w:tcW w:w="2229" w:type="dxa"/>
            <w:noWrap/>
            <w:hideMark/>
          </w:tcPr>
          <w:p w14:paraId="57E8C82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To be discussed. We will provide discussion paper on clarification whether to report: zero value or not to report for this particular neighbor cell or report PDD between current and old satellite.</w:t>
            </w:r>
          </w:p>
        </w:tc>
        <w:tc>
          <w:tcPr>
            <w:tcW w:w="2229" w:type="dxa"/>
            <w:noWrap/>
            <w:hideMark/>
          </w:tcPr>
          <w:p w14:paraId="185488CC"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As agreed in the endorsed procedure, the satellite that will become serving after the switch is included in satSwitchWithReSync IE and not in the neighbour cell list.</w:t>
            </w:r>
          </w:p>
        </w:tc>
      </w:tr>
      <w:tr w:rsidR="00E71BC9" w:rsidRPr="00E71BC9" w14:paraId="35D23B89" w14:textId="77777777" w:rsidTr="00E71BC9">
        <w:trPr>
          <w:trHeight w:val="300"/>
        </w:trPr>
        <w:tc>
          <w:tcPr>
            <w:tcW w:w="69" w:type="dxa"/>
            <w:noWrap/>
            <w:hideMark/>
          </w:tcPr>
          <w:p w14:paraId="5FB5329D"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Q572</w:t>
            </w:r>
          </w:p>
        </w:tc>
        <w:tc>
          <w:tcPr>
            <w:tcW w:w="198" w:type="dxa"/>
            <w:noWrap/>
            <w:hideMark/>
          </w:tcPr>
          <w:p w14:paraId="4563912B"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QC (Umesh)</w:t>
            </w:r>
          </w:p>
        </w:tc>
        <w:tc>
          <w:tcPr>
            <w:tcW w:w="179" w:type="dxa"/>
            <w:noWrap/>
            <w:hideMark/>
          </w:tcPr>
          <w:p w14:paraId="17C4FA30"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7ABEB590"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01484303"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PropReject</w:t>
            </w:r>
          </w:p>
        </w:tc>
        <w:tc>
          <w:tcPr>
            <w:tcW w:w="2229" w:type="dxa"/>
            <w:noWrap/>
            <w:hideMark/>
          </w:tcPr>
          <w:p w14:paraId="4C3F7A91"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Unclear why this is needed. Let's discuss online.</w:t>
            </w:r>
          </w:p>
        </w:tc>
        <w:tc>
          <w:tcPr>
            <w:tcW w:w="1987" w:type="dxa"/>
            <w:noWrap/>
            <w:hideMark/>
          </w:tcPr>
          <w:p w14:paraId="3A4DFA86"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Add indication to lower layer that MAC should reset the Nta value to resume UL transmission in the new satellite.</w:t>
            </w:r>
          </w:p>
        </w:tc>
        <w:tc>
          <w:tcPr>
            <w:tcW w:w="4458" w:type="dxa"/>
            <w:gridSpan w:val="2"/>
            <w:noWrap/>
            <w:hideMark/>
          </w:tcPr>
          <w:p w14:paraId="5C90B08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 xml:space="preserve">add statement as shown below 1&gt; stop timer T430 if running; 1&gt; inform lower layers that UL synchronisation is lost due to satellite switch with re-synchronization; 1&gt; start re-synchronising to the DL of the SpCell served by the satellite indicated by ntn-Config in SatSwitchWithReSync; 1&gt; start  timer T430 with the timer value set to ntn-UlSyncValidityDuration from the subframe indicated by epochTime in ntn-Config in SatSwitchWithReSync; 1&gt; inform lower layers to reset </w:t>
            </w:r>
            <w:r w:rsidRPr="00E71BC9">
              <w:rPr>
                <w:rFonts w:ascii="Arial" w:eastAsia="Times New Roman" w:hAnsi="Arial" w:cs="Times New Roman"/>
                <w:sz w:val="20"/>
                <w:szCs w:val="20"/>
                <w:lang w:eastAsia="zh-CN"/>
              </w:rPr>
              <w:lastRenderedPageBreak/>
              <w:t>the NTA value; 1&gt; inform lower layers when UL synchronisation is obtained.</w:t>
            </w:r>
          </w:p>
        </w:tc>
      </w:tr>
      <w:tr w:rsidR="00E71BC9" w:rsidRPr="00E71BC9" w14:paraId="2C149D33" w14:textId="77777777" w:rsidTr="00E71BC9">
        <w:trPr>
          <w:trHeight w:val="300"/>
        </w:trPr>
        <w:tc>
          <w:tcPr>
            <w:tcW w:w="69" w:type="dxa"/>
            <w:noWrap/>
            <w:hideMark/>
          </w:tcPr>
          <w:p w14:paraId="5D42CB96"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Q631</w:t>
            </w:r>
          </w:p>
        </w:tc>
        <w:tc>
          <w:tcPr>
            <w:tcW w:w="198" w:type="dxa"/>
            <w:noWrap/>
            <w:hideMark/>
          </w:tcPr>
          <w:p w14:paraId="66892B02"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QC (Umesh)</w:t>
            </w:r>
          </w:p>
        </w:tc>
        <w:tc>
          <w:tcPr>
            <w:tcW w:w="179" w:type="dxa"/>
            <w:noWrap/>
            <w:hideMark/>
          </w:tcPr>
          <w:p w14:paraId="3743CCA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3F103110"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6B370455"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PropReject</w:t>
            </w:r>
          </w:p>
        </w:tc>
        <w:tc>
          <w:tcPr>
            <w:tcW w:w="2229" w:type="dxa"/>
            <w:noWrap/>
            <w:hideMark/>
          </w:tcPr>
          <w:p w14:paraId="38AE22B2"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We do not think this restriction needs to be captured in Stage 3.</w:t>
            </w:r>
          </w:p>
        </w:tc>
        <w:tc>
          <w:tcPr>
            <w:tcW w:w="1987" w:type="dxa"/>
            <w:noWrap/>
            <w:hideMark/>
          </w:tcPr>
          <w:p w14:paraId="0B75DD36"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As per following agreement, the case of new satellite start time being later than current satellite stop time is not a valid configuration, should be clarified. Agreement: For R18 we clarify that signalling a T-start higher than T-service is an unforeseen case and the UE will assume T-start = T-service</w:t>
            </w:r>
          </w:p>
        </w:tc>
        <w:tc>
          <w:tcPr>
            <w:tcW w:w="2229" w:type="dxa"/>
            <w:noWrap/>
            <w:hideMark/>
          </w:tcPr>
          <w:p w14:paraId="43B40C3A"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Clarify that if t-ServiceStart-r18 is larger than t-Service, then t-Service-r17 is applied as per RAN2 agreement</w:t>
            </w:r>
          </w:p>
        </w:tc>
        <w:tc>
          <w:tcPr>
            <w:tcW w:w="2229" w:type="dxa"/>
            <w:noWrap/>
            <w:hideMark/>
          </w:tcPr>
          <w:p w14:paraId="6D45DBF8"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We do not think this restriction needs to be captured in Stage 3.</w:t>
            </w:r>
          </w:p>
        </w:tc>
      </w:tr>
      <w:tr w:rsidR="00E71BC9" w:rsidRPr="00E71BC9" w14:paraId="0503CDDD" w14:textId="77777777" w:rsidTr="00E71BC9">
        <w:trPr>
          <w:trHeight w:val="300"/>
        </w:trPr>
        <w:tc>
          <w:tcPr>
            <w:tcW w:w="69" w:type="dxa"/>
            <w:noWrap/>
            <w:hideMark/>
          </w:tcPr>
          <w:p w14:paraId="2DDF7AC8"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Q633</w:t>
            </w:r>
          </w:p>
        </w:tc>
        <w:tc>
          <w:tcPr>
            <w:tcW w:w="198" w:type="dxa"/>
            <w:noWrap/>
            <w:hideMark/>
          </w:tcPr>
          <w:p w14:paraId="7176088B"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QC (Umesh)</w:t>
            </w:r>
          </w:p>
        </w:tc>
        <w:tc>
          <w:tcPr>
            <w:tcW w:w="179" w:type="dxa"/>
            <w:noWrap/>
            <w:hideMark/>
          </w:tcPr>
          <w:p w14:paraId="5832BE0C"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2DB1AE73"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147E2E53"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PropAgree</w:t>
            </w:r>
          </w:p>
        </w:tc>
        <w:tc>
          <w:tcPr>
            <w:tcW w:w="2229" w:type="dxa"/>
            <w:noWrap/>
            <w:hideMark/>
          </w:tcPr>
          <w:p w14:paraId="47C3D0A3"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Agree. It will be addressed in the Rapp CR.</w:t>
            </w:r>
          </w:p>
        </w:tc>
        <w:tc>
          <w:tcPr>
            <w:tcW w:w="1987" w:type="dxa"/>
            <w:noWrap/>
            <w:hideMark/>
          </w:tcPr>
          <w:p w14:paraId="3E27D6AE"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Field description missing. Although the IE TN-AreadID-r18 has some description, this field is a list which is not described.</w:t>
            </w:r>
          </w:p>
        </w:tc>
        <w:tc>
          <w:tcPr>
            <w:tcW w:w="2229" w:type="dxa"/>
            <w:noWrap/>
            <w:hideMark/>
          </w:tcPr>
          <w:p w14:paraId="1963A668"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Clarify that the field is a list of TN coverage info as signalled in SIB25 for the concerned frequency.</w:t>
            </w:r>
          </w:p>
        </w:tc>
        <w:tc>
          <w:tcPr>
            <w:tcW w:w="2229" w:type="dxa"/>
            <w:noWrap/>
            <w:hideMark/>
          </w:tcPr>
          <w:p w14:paraId="1EF3AB6A"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Agree. It will be addressed in the Rapp CR.</w:t>
            </w:r>
          </w:p>
        </w:tc>
      </w:tr>
      <w:tr w:rsidR="00E71BC9" w:rsidRPr="00E71BC9" w14:paraId="264F9550" w14:textId="77777777" w:rsidTr="00E71BC9">
        <w:trPr>
          <w:trHeight w:val="300"/>
        </w:trPr>
        <w:tc>
          <w:tcPr>
            <w:tcW w:w="69" w:type="dxa"/>
            <w:noWrap/>
            <w:hideMark/>
          </w:tcPr>
          <w:p w14:paraId="7DFD4E47"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Q634</w:t>
            </w:r>
          </w:p>
        </w:tc>
        <w:tc>
          <w:tcPr>
            <w:tcW w:w="198" w:type="dxa"/>
            <w:noWrap/>
            <w:hideMark/>
          </w:tcPr>
          <w:p w14:paraId="79B1066E"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QC (Umesh)</w:t>
            </w:r>
          </w:p>
        </w:tc>
        <w:tc>
          <w:tcPr>
            <w:tcW w:w="179" w:type="dxa"/>
            <w:noWrap/>
            <w:hideMark/>
          </w:tcPr>
          <w:p w14:paraId="1750A7EB"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0C46A2E3"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0CE3A101"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PropAgree</w:t>
            </w:r>
          </w:p>
        </w:tc>
        <w:tc>
          <w:tcPr>
            <w:tcW w:w="2229" w:type="dxa"/>
            <w:noWrap/>
            <w:hideMark/>
          </w:tcPr>
          <w:p w14:paraId="13A4623B"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Agree. It will be addressed in the Rapp CR.</w:t>
            </w:r>
          </w:p>
        </w:tc>
        <w:tc>
          <w:tcPr>
            <w:tcW w:w="1987" w:type="dxa"/>
            <w:noWrap/>
            <w:hideMark/>
          </w:tcPr>
          <w:p w14:paraId="2459341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Field description missing. Although the IE TN-AreadID-r18 has some description, this field is a list which is not described.</w:t>
            </w:r>
          </w:p>
        </w:tc>
        <w:tc>
          <w:tcPr>
            <w:tcW w:w="2229" w:type="dxa"/>
            <w:noWrap/>
            <w:hideMark/>
          </w:tcPr>
          <w:p w14:paraId="0D315611"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Clarify that the field is a list of TN coverage info as signalled in SIB25 for the concerned frequency.</w:t>
            </w:r>
          </w:p>
        </w:tc>
        <w:tc>
          <w:tcPr>
            <w:tcW w:w="2229" w:type="dxa"/>
            <w:noWrap/>
            <w:hideMark/>
          </w:tcPr>
          <w:p w14:paraId="38BF849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Agree. It will be addressed in the Rapp CR.</w:t>
            </w:r>
          </w:p>
        </w:tc>
      </w:tr>
      <w:tr w:rsidR="00E71BC9" w:rsidRPr="00E71BC9" w14:paraId="163F9BF1" w14:textId="77777777" w:rsidTr="00E71BC9">
        <w:trPr>
          <w:trHeight w:val="300"/>
        </w:trPr>
        <w:tc>
          <w:tcPr>
            <w:tcW w:w="69" w:type="dxa"/>
            <w:noWrap/>
            <w:hideMark/>
          </w:tcPr>
          <w:p w14:paraId="561FF7D3"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Q638</w:t>
            </w:r>
          </w:p>
        </w:tc>
        <w:tc>
          <w:tcPr>
            <w:tcW w:w="198" w:type="dxa"/>
            <w:noWrap/>
            <w:hideMark/>
          </w:tcPr>
          <w:p w14:paraId="23734AB9"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QC (Umesh)</w:t>
            </w:r>
          </w:p>
        </w:tc>
        <w:tc>
          <w:tcPr>
            <w:tcW w:w="179" w:type="dxa"/>
            <w:noWrap/>
            <w:hideMark/>
          </w:tcPr>
          <w:p w14:paraId="1906525B"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22923AE9"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5EEACBEB"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ToDo</w:t>
            </w:r>
          </w:p>
        </w:tc>
        <w:tc>
          <w:tcPr>
            <w:tcW w:w="2229" w:type="dxa"/>
            <w:noWrap/>
            <w:hideMark/>
          </w:tcPr>
          <w:p w14:paraId="709DD6F3"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 xml:space="preserve">[Ericsson - Ignacio] The implications of FR2 inclusion in NTN </w:t>
            </w:r>
            <w:r w:rsidRPr="00E71BC9">
              <w:rPr>
                <w:rFonts w:ascii="Arial" w:eastAsia="Times New Roman" w:hAnsi="Arial" w:cs="Times New Roman"/>
                <w:sz w:val="20"/>
                <w:szCs w:val="20"/>
                <w:lang w:eastAsia="zh-CN"/>
              </w:rPr>
              <w:lastRenderedPageBreak/>
              <w:t>need to be further discussed.</w:t>
            </w:r>
          </w:p>
        </w:tc>
        <w:tc>
          <w:tcPr>
            <w:tcW w:w="1987" w:type="dxa"/>
            <w:noWrap/>
            <w:hideMark/>
          </w:tcPr>
          <w:p w14:paraId="724C2DA6"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FR2 is introduced in Rel-18 NTN.</w:t>
            </w:r>
          </w:p>
        </w:tc>
        <w:tc>
          <w:tcPr>
            <w:tcW w:w="2229" w:type="dxa"/>
            <w:noWrap/>
            <w:hideMark/>
          </w:tcPr>
          <w:p w14:paraId="6F801F6E"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 xml:space="preserve">Remove the FR1 restriction for the value of Kmac. Scheduling offset provided by network if downlink and uplink frame timing </w:t>
            </w:r>
            <w:r w:rsidRPr="00E71BC9">
              <w:rPr>
                <w:rFonts w:ascii="Arial" w:eastAsia="Times New Roman" w:hAnsi="Arial" w:cs="Times New Roman"/>
                <w:sz w:val="20"/>
                <w:szCs w:val="20"/>
                <w:lang w:eastAsia="zh-CN"/>
              </w:rPr>
              <w:lastRenderedPageBreak/>
              <w:t>are not aligned at gNB. If the field is absent UE assumes value 0. In FR1, the unit of kmac is number of slots for a given subcarrier spacing of 15 kHz.</w:t>
            </w:r>
          </w:p>
        </w:tc>
        <w:tc>
          <w:tcPr>
            <w:tcW w:w="2229" w:type="dxa"/>
            <w:noWrap/>
            <w:hideMark/>
          </w:tcPr>
          <w:p w14:paraId="2142AEFB"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p>
        </w:tc>
      </w:tr>
      <w:tr w:rsidR="00E71BC9" w:rsidRPr="00E71BC9" w14:paraId="5238F1CE" w14:textId="77777777" w:rsidTr="00E71BC9">
        <w:trPr>
          <w:trHeight w:val="300"/>
        </w:trPr>
        <w:tc>
          <w:tcPr>
            <w:tcW w:w="69" w:type="dxa"/>
            <w:noWrap/>
            <w:hideMark/>
          </w:tcPr>
          <w:p w14:paraId="214E2E57"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S481</w:t>
            </w:r>
          </w:p>
        </w:tc>
        <w:tc>
          <w:tcPr>
            <w:tcW w:w="198" w:type="dxa"/>
            <w:noWrap/>
            <w:hideMark/>
          </w:tcPr>
          <w:p w14:paraId="4F548583"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Samsung (Shiyang)</w:t>
            </w:r>
          </w:p>
        </w:tc>
        <w:tc>
          <w:tcPr>
            <w:tcW w:w="179" w:type="dxa"/>
            <w:noWrap/>
            <w:hideMark/>
          </w:tcPr>
          <w:p w14:paraId="7892DE7C"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356E2A77"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5E5FF4F7"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Duplicate</w:t>
            </w:r>
          </w:p>
        </w:tc>
        <w:tc>
          <w:tcPr>
            <w:tcW w:w="2229" w:type="dxa"/>
            <w:noWrap/>
            <w:hideMark/>
          </w:tcPr>
          <w:p w14:paraId="22458A7D"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Similar to H009. This can be treated in a Tdoc.</w:t>
            </w:r>
          </w:p>
        </w:tc>
        <w:tc>
          <w:tcPr>
            <w:tcW w:w="1987" w:type="dxa"/>
            <w:noWrap/>
            <w:hideMark/>
          </w:tcPr>
          <w:p w14:paraId="60DEA052"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Parameters for PUCCH repeition for Msg4 HARQ-ACK (listed in RAN1 RRC parameter list R1-2312697) are missing</w:t>
            </w:r>
          </w:p>
        </w:tc>
        <w:tc>
          <w:tcPr>
            <w:tcW w:w="2229" w:type="dxa"/>
            <w:noWrap/>
            <w:hideMark/>
          </w:tcPr>
          <w:p w14:paraId="57B94B7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add a field in SIB19 for parameter rsrp-ThresholdPUCCHforMsg4HARQACK, OPTIONAL Need R; add a field in SIB19 for parameter numberOfPUCCHforMsg4HARQACK-RepetitionsList, OPTIONAL Need R;</w:t>
            </w:r>
          </w:p>
        </w:tc>
        <w:tc>
          <w:tcPr>
            <w:tcW w:w="2229" w:type="dxa"/>
            <w:noWrap/>
            <w:hideMark/>
          </w:tcPr>
          <w:p w14:paraId="7A921B94"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Huawei : Agree, same as H009, propose to treat by Tdoc.</w:t>
            </w:r>
          </w:p>
        </w:tc>
      </w:tr>
      <w:tr w:rsidR="00E71BC9" w:rsidRPr="00E71BC9" w14:paraId="39C911BC" w14:textId="77777777" w:rsidTr="00E71BC9">
        <w:trPr>
          <w:trHeight w:val="300"/>
        </w:trPr>
        <w:tc>
          <w:tcPr>
            <w:tcW w:w="69" w:type="dxa"/>
            <w:noWrap/>
            <w:hideMark/>
          </w:tcPr>
          <w:p w14:paraId="6DA13B2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S482</w:t>
            </w:r>
          </w:p>
        </w:tc>
        <w:tc>
          <w:tcPr>
            <w:tcW w:w="198" w:type="dxa"/>
            <w:noWrap/>
            <w:hideMark/>
          </w:tcPr>
          <w:p w14:paraId="5D6861A0"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Samsung (Shiyang)</w:t>
            </w:r>
          </w:p>
        </w:tc>
        <w:tc>
          <w:tcPr>
            <w:tcW w:w="179" w:type="dxa"/>
            <w:noWrap/>
            <w:hideMark/>
          </w:tcPr>
          <w:p w14:paraId="0876122B"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34A3A356"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04BDD810"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PropAgree</w:t>
            </w:r>
          </w:p>
        </w:tc>
        <w:tc>
          <w:tcPr>
            <w:tcW w:w="2229" w:type="dxa"/>
            <w:noWrap/>
            <w:hideMark/>
          </w:tcPr>
          <w:p w14:paraId="02168BAC"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Agree. It will be addressed in the Rapp CR.</w:t>
            </w:r>
          </w:p>
        </w:tc>
        <w:tc>
          <w:tcPr>
            <w:tcW w:w="1987" w:type="dxa"/>
            <w:noWrap/>
            <w:hideMark/>
          </w:tcPr>
          <w:p w14:paraId="35F8FF41"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It is not clear what zero and source mean</w:t>
            </w:r>
          </w:p>
        </w:tc>
        <w:tc>
          <w:tcPr>
            <w:tcW w:w="2229" w:type="dxa"/>
            <w:noWrap/>
            <w:hideMark/>
          </w:tcPr>
          <w:p w14:paraId="2C653C2E"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Add a sentence to clarify: zero corresponds to NTA =0, source corresponds to the NTA value of the current serving cell.</w:t>
            </w:r>
          </w:p>
        </w:tc>
        <w:tc>
          <w:tcPr>
            <w:tcW w:w="2229" w:type="dxa"/>
            <w:noWrap/>
            <w:hideMark/>
          </w:tcPr>
          <w:p w14:paraId="42C279D7"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p>
        </w:tc>
      </w:tr>
      <w:tr w:rsidR="00E71BC9" w:rsidRPr="00E71BC9" w14:paraId="4F507DA8" w14:textId="77777777" w:rsidTr="00E71BC9">
        <w:trPr>
          <w:trHeight w:val="300"/>
        </w:trPr>
        <w:tc>
          <w:tcPr>
            <w:tcW w:w="69" w:type="dxa"/>
            <w:noWrap/>
            <w:hideMark/>
          </w:tcPr>
          <w:p w14:paraId="71BA30F6"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S483</w:t>
            </w:r>
          </w:p>
        </w:tc>
        <w:tc>
          <w:tcPr>
            <w:tcW w:w="198" w:type="dxa"/>
            <w:noWrap/>
            <w:hideMark/>
          </w:tcPr>
          <w:p w14:paraId="0EF53B24"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Samsung (Shiyang)</w:t>
            </w:r>
          </w:p>
        </w:tc>
        <w:tc>
          <w:tcPr>
            <w:tcW w:w="179" w:type="dxa"/>
            <w:noWrap/>
            <w:hideMark/>
          </w:tcPr>
          <w:p w14:paraId="70EA8B99"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70FA5D46"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4FD92776"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PropAgree</w:t>
            </w:r>
          </w:p>
        </w:tc>
        <w:tc>
          <w:tcPr>
            <w:tcW w:w="2229" w:type="dxa"/>
            <w:noWrap/>
            <w:hideMark/>
          </w:tcPr>
          <w:p w14:paraId="58CBBC66"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Agree. It will be addressed in the Rapp CR.</w:t>
            </w:r>
          </w:p>
        </w:tc>
        <w:tc>
          <w:tcPr>
            <w:tcW w:w="1987" w:type="dxa"/>
            <w:noWrap/>
            <w:hideMark/>
          </w:tcPr>
          <w:p w14:paraId="1B07696D"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Same content as in sdt-SSB-Subset should be copied here for ntn-SSB-Subset</w:t>
            </w:r>
          </w:p>
        </w:tc>
        <w:tc>
          <w:tcPr>
            <w:tcW w:w="4458" w:type="dxa"/>
            <w:gridSpan w:val="2"/>
            <w:noWrap/>
            <w:hideMark/>
          </w:tcPr>
          <w:p w14:paraId="0664424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Add sentences:  The first/leftmost bit corresponds to SS/PBCH block index 0, the second bit corresponds to SS/PBCH block index 1, and so on. Value 0 in the bitmap indicates that the corresponding SS/PBCH block is not included in the SSB subset for SSB to CG PUSCH mapping while value 1 indicates that the corresponding SS/PBCH block is included in SSB subset for SSB to CG PUSCH mapping.</w:t>
            </w:r>
          </w:p>
        </w:tc>
      </w:tr>
      <w:tr w:rsidR="00E71BC9" w:rsidRPr="00E71BC9" w14:paraId="2564F8C3" w14:textId="77777777" w:rsidTr="00E71BC9">
        <w:trPr>
          <w:trHeight w:val="300"/>
        </w:trPr>
        <w:tc>
          <w:tcPr>
            <w:tcW w:w="69" w:type="dxa"/>
            <w:noWrap/>
            <w:hideMark/>
          </w:tcPr>
          <w:p w14:paraId="5DF16F45"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S484</w:t>
            </w:r>
          </w:p>
        </w:tc>
        <w:tc>
          <w:tcPr>
            <w:tcW w:w="198" w:type="dxa"/>
            <w:noWrap/>
            <w:hideMark/>
          </w:tcPr>
          <w:p w14:paraId="124690B9"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Samsung (Shiyang)</w:t>
            </w:r>
          </w:p>
        </w:tc>
        <w:tc>
          <w:tcPr>
            <w:tcW w:w="179" w:type="dxa"/>
            <w:noWrap/>
            <w:hideMark/>
          </w:tcPr>
          <w:p w14:paraId="382AB6D7"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59B52155"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14CCA1C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PropAgree</w:t>
            </w:r>
          </w:p>
        </w:tc>
        <w:tc>
          <w:tcPr>
            <w:tcW w:w="2229" w:type="dxa"/>
            <w:noWrap/>
            <w:hideMark/>
          </w:tcPr>
          <w:p w14:paraId="09683335"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Agree. It will be addressed in the Rapp CR.</w:t>
            </w:r>
          </w:p>
        </w:tc>
        <w:tc>
          <w:tcPr>
            <w:tcW w:w="1987" w:type="dxa"/>
            <w:noWrap/>
            <w:hideMark/>
          </w:tcPr>
          <w:p w14:paraId="7D8123C9"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pre-allocated guplink grant is not used any more</w:t>
            </w:r>
          </w:p>
        </w:tc>
        <w:tc>
          <w:tcPr>
            <w:tcW w:w="2229" w:type="dxa"/>
            <w:noWrap/>
            <w:hideMark/>
          </w:tcPr>
          <w:p w14:paraId="5E46C450"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 xml:space="preserve">replace by “configured grant” ( The number of SSBs per configured grant PUSCH (see TS 38.213 [13]). Value one corresponds to 1 SSBs per configured grant PUSCH, value two corresponds to 2 SSBs per </w:t>
            </w:r>
            <w:r w:rsidRPr="00E71BC9">
              <w:rPr>
                <w:rFonts w:ascii="Arial" w:eastAsia="Times New Roman" w:hAnsi="Arial" w:cs="Times New Roman"/>
                <w:sz w:val="20"/>
                <w:szCs w:val="20"/>
                <w:lang w:eastAsia="zh-CN"/>
              </w:rPr>
              <w:lastRenderedPageBreak/>
              <w:t>configured grant PUSCH and so on.</w:t>
            </w:r>
          </w:p>
        </w:tc>
        <w:tc>
          <w:tcPr>
            <w:tcW w:w="2229" w:type="dxa"/>
            <w:noWrap/>
            <w:hideMark/>
          </w:tcPr>
          <w:p w14:paraId="5BE61949"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p>
        </w:tc>
      </w:tr>
      <w:tr w:rsidR="00E71BC9" w:rsidRPr="00E71BC9" w14:paraId="3EA618A7" w14:textId="77777777" w:rsidTr="00E71BC9">
        <w:trPr>
          <w:trHeight w:val="300"/>
        </w:trPr>
        <w:tc>
          <w:tcPr>
            <w:tcW w:w="69" w:type="dxa"/>
            <w:noWrap/>
            <w:hideMark/>
          </w:tcPr>
          <w:p w14:paraId="2DA81241"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S485</w:t>
            </w:r>
          </w:p>
        </w:tc>
        <w:tc>
          <w:tcPr>
            <w:tcW w:w="198" w:type="dxa"/>
            <w:noWrap/>
            <w:hideMark/>
          </w:tcPr>
          <w:p w14:paraId="23D1110C"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Samsung (Shiyang)</w:t>
            </w:r>
          </w:p>
        </w:tc>
        <w:tc>
          <w:tcPr>
            <w:tcW w:w="179" w:type="dxa"/>
            <w:noWrap/>
            <w:hideMark/>
          </w:tcPr>
          <w:p w14:paraId="2687AD23"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3E09DEE6"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1BB8E676"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PropAgree</w:t>
            </w:r>
          </w:p>
        </w:tc>
        <w:tc>
          <w:tcPr>
            <w:tcW w:w="2229" w:type="dxa"/>
            <w:noWrap/>
            <w:hideMark/>
          </w:tcPr>
          <w:p w14:paraId="1F6E0C98"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Agree. It will be addressed in the Rapp CR.</w:t>
            </w:r>
          </w:p>
        </w:tc>
        <w:tc>
          <w:tcPr>
            <w:tcW w:w="1987" w:type="dxa"/>
            <w:noWrap/>
            <w:hideMark/>
          </w:tcPr>
          <w:p w14:paraId="5BE5E0E2"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pre-allocated guplink grant is not used any more</w:t>
            </w:r>
          </w:p>
        </w:tc>
        <w:tc>
          <w:tcPr>
            <w:tcW w:w="2229" w:type="dxa"/>
            <w:noWrap/>
            <w:hideMark/>
          </w:tcPr>
          <w:p w14:paraId="1CF12AC0"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replace by “configured grant”</w:t>
            </w:r>
          </w:p>
        </w:tc>
        <w:tc>
          <w:tcPr>
            <w:tcW w:w="2229" w:type="dxa"/>
            <w:noWrap/>
            <w:hideMark/>
          </w:tcPr>
          <w:p w14:paraId="6B01C9C2"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p>
        </w:tc>
      </w:tr>
      <w:tr w:rsidR="00E71BC9" w:rsidRPr="00E71BC9" w14:paraId="146F1A2E" w14:textId="77777777" w:rsidTr="00E71BC9">
        <w:trPr>
          <w:trHeight w:val="300"/>
        </w:trPr>
        <w:tc>
          <w:tcPr>
            <w:tcW w:w="69" w:type="dxa"/>
            <w:noWrap/>
            <w:hideMark/>
          </w:tcPr>
          <w:p w14:paraId="050C9E35"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V500</w:t>
            </w:r>
          </w:p>
        </w:tc>
        <w:tc>
          <w:tcPr>
            <w:tcW w:w="198" w:type="dxa"/>
            <w:noWrap/>
            <w:hideMark/>
          </w:tcPr>
          <w:p w14:paraId="501DFB12"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vivo-Stephen</w:t>
            </w:r>
          </w:p>
        </w:tc>
        <w:tc>
          <w:tcPr>
            <w:tcW w:w="179" w:type="dxa"/>
            <w:noWrap/>
            <w:hideMark/>
          </w:tcPr>
          <w:p w14:paraId="2935B4A3"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0C5F958E"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49F90EE0"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PropAgree</w:t>
            </w:r>
          </w:p>
        </w:tc>
        <w:tc>
          <w:tcPr>
            <w:tcW w:w="2229" w:type="dxa"/>
            <w:noWrap/>
            <w:hideMark/>
          </w:tcPr>
          <w:p w14:paraId="72BC7A3E"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Ericsson agrees. It will be addressed in WI Rapp CR.</w:t>
            </w:r>
          </w:p>
        </w:tc>
        <w:tc>
          <w:tcPr>
            <w:tcW w:w="1987" w:type="dxa"/>
            <w:noWrap/>
            <w:hideMark/>
          </w:tcPr>
          <w:p w14:paraId="43AA98AE"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When Uncahgned PCI is configured, there will be two epoch time value for the serving cell (one indicated via the Rel-17 field, while another via the Rel-18 field), it is not clear which one to be used.</w:t>
            </w:r>
          </w:p>
        </w:tc>
        <w:tc>
          <w:tcPr>
            <w:tcW w:w="2229" w:type="dxa"/>
            <w:noWrap/>
            <w:hideMark/>
          </w:tcPr>
          <w:p w14:paraId="02B0244E"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Clarify that the UE uses the value from Rel-17 field before unchanged PCI and uses the value from Rel-18 field after unchanged PCI.</w:t>
            </w:r>
          </w:p>
        </w:tc>
        <w:tc>
          <w:tcPr>
            <w:tcW w:w="2229" w:type="dxa"/>
            <w:noWrap/>
            <w:hideMark/>
          </w:tcPr>
          <w:p w14:paraId="3A6D76B0"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Ericsson agrees. It will be addressed in WI Rapp CR.</w:t>
            </w:r>
          </w:p>
        </w:tc>
      </w:tr>
      <w:tr w:rsidR="00E71BC9" w:rsidRPr="00E71BC9" w14:paraId="77EF46AD" w14:textId="77777777" w:rsidTr="00E71BC9">
        <w:trPr>
          <w:trHeight w:val="300"/>
        </w:trPr>
        <w:tc>
          <w:tcPr>
            <w:tcW w:w="69" w:type="dxa"/>
            <w:noWrap/>
            <w:hideMark/>
          </w:tcPr>
          <w:p w14:paraId="054C11D5"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V501</w:t>
            </w:r>
          </w:p>
        </w:tc>
        <w:tc>
          <w:tcPr>
            <w:tcW w:w="198" w:type="dxa"/>
            <w:noWrap/>
            <w:hideMark/>
          </w:tcPr>
          <w:p w14:paraId="5254D7EB"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vivo-Stephen</w:t>
            </w:r>
          </w:p>
        </w:tc>
        <w:tc>
          <w:tcPr>
            <w:tcW w:w="179" w:type="dxa"/>
            <w:noWrap/>
            <w:hideMark/>
          </w:tcPr>
          <w:p w14:paraId="1BEC2D69"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4E96E338"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0D97BF87"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PropReject</w:t>
            </w:r>
          </w:p>
        </w:tc>
        <w:tc>
          <w:tcPr>
            <w:tcW w:w="2229" w:type="dxa"/>
            <w:noWrap/>
            <w:hideMark/>
          </w:tcPr>
          <w:p w14:paraId="119B4BE7"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If unchanged PCI is configured, there are two validity duration in SIB19, one for each satellite. We don't see any possible confusion. Recall this text refers to general neighbors for handover and reselection, not the target satellite for unchanged PCI.</w:t>
            </w:r>
          </w:p>
        </w:tc>
        <w:tc>
          <w:tcPr>
            <w:tcW w:w="1987" w:type="dxa"/>
            <w:noWrap/>
            <w:hideMark/>
          </w:tcPr>
          <w:p w14:paraId="0DBB96B1"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When Uncahgned PCI is configured, there will be two validity duration value for the serving cell (one indicated via the Rel-17 field, while another via the Rel-18 field), it is not clear which one to be used.</w:t>
            </w:r>
          </w:p>
        </w:tc>
        <w:tc>
          <w:tcPr>
            <w:tcW w:w="2229" w:type="dxa"/>
            <w:noWrap/>
            <w:hideMark/>
          </w:tcPr>
          <w:p w14:paraId="7090B97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Clarify that the UE uses the value from Rel-17 field before unchanged PCI and uses the value from Rel-18 field after unchanged PCI.</w:t>
            </w:r>
          </w:p>
        </w:tc>
        <w:tc>
          <w:tcPr>
            <w:tcW w:w="2229" w:type="dxa"/>
            <w:noWrap/>
            <w:hideMark/>
          </w:tcPr>
          <w:p w14:paraId="7B293BFD"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If unchanged PCI is configured, there are two validity duration in SIB19, one for each satellite. We don't see any possible confusion. Recall this text refers to general neighbors for handover and reselection, not the target satellite for unchanged PCI.</w:t>
            </w:r>
          </w:p>
        </w:tc>
      </w:tr>
      <w:tr w:rsidR="00E71BC9" w:rsidRPr="00E71BC9" w14:paraId="747E897E" w14:textId="77777777" w:rsidTr="00E71BC9">
        <w:trPr>
          <w:trHeight w:val="300"/>
        </w:trPr>
        <w:tc>
          <w:tcPr>
            <w:tcW w:w="69" w:type="dxa"/>
            <w:noWrap/>
            <w:hideMark/>
          </w:tcPr>
          <w:p w14:paraId="31775F19"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V502</w:t>
            </w:r>
          </w:p>
        </w:tc>
        <w:tc>
          <w:tcPr>
            <w:tcW w:w="198" w:type="dxa"/>
            <w:noWrap/>
            <w:hideMark/>
          </w:tcPr>
          <w:p w14:paraId="4B880C7C"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vivo-Stephen</w:t>
            </w:r>
          </w:p>
        </w:tc>
        <w:tc>
          <w:tcPr>
            <w:tcW w:w="179" w:type="dxa"/>
            <w:noWrap/>
            <w:hideMark/>
          </w:tcPr>
          <w:p w14:paraId="3D53D90C"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54BA7FB1"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11C19D71"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PropAgree</w:t>
            </w:r>
          </w:p>
        </w:tc>
        <w:tc>
          <w:tcPr>
            <w:tcW w:w="2229" w:type="dxa"/>
            <w:noWrap/>
            <w:hideMark/>
          </w:tcPr>
          <w:p w14:paraId="4BC1C05B"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 xml:space="preserve">[Ericsson - Ignacio] Agree. It will be </w:t>
            </w:r>
            <w:r w:rsidRPr="00E71BC9">
              <w:rPr>
                <w:rFonts w:ascii="Arial" w:eastAsia="Times New Roman" w:hAnsi="Arial" w:cs="Times New Roman"/>
                <w:sz w:val="20"/>
                <w:szCs w:val="20"/>
                <w:lang w:eastAsia="zh-CN"/>
              </w:rPr>
              <w:lastRenderedPageBreak/>
              <w:t>addressed in the Rapp CR.</w:t>
            </w:r>
          </w:p>
        </w:tc>
        <w:tc>
          <w:tcPr>
            <w:tcW w:w="1987" w:type="dxa"/>
            <w:noWrap/>
            <w:hideMark/>
          </w:tcPr>
          <w:p w14:paraId="62FD47C3"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The case of unchanged PCI is missing herein</w:t>
            </w:r>
          </w:p>
        </w:tc>
        <w:tc>
          <w:tcPr>
            <w:tcW w:w="2229" w:type="dxa"/>
            <w:noWrap/>
            <w:hideMark/>
          </w:tcPr>
          <w:p w14:paraId="29B6E27A"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add “or upon performing satellite switch with re-synchronization”.</w:t>
            </w:r>
          </w:p>
        </w:tc>
        <w:tc>
          <w:tcPr>
            <w:tcW w:w="2229" w:type="dxa"/>
            <w:noWrap/>
            <w:hideMark/>
          </w:tcPr>
          <w:p w14:paraId="681B259B"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p>
        </w:tc>
      </w:tr>
      <w:tr w:rsidR="00E71BC9" w:rsidRPr="00E71BC9" w14:paraId="571D23C7" w14:textId="77777777" w:rsidTr="00E71BC9">
        <w:trPr>
          <w:trHeight w:val="300"/>
        </w:trPr>
        <w:tc>
          <w:tcPr>
            <w:tcW w:w="69" w:type="dxa"/>
            <w:noWrap/>
            <w:hideMark/>
          </w:tcPr>
          <w:p w14:paraId="356D8CFA"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V503</w:t>
            </w:r>
          </w:p>
        </w:tc>
        <w:tc>
          <w:tcPr>
            <w:tcW w:w="198" w:type="dxa"/>
            <w:noWrap/>
            <w:hideMark/>
          </w:tcPr>
          <w:p w14:paraId="46C6235E"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vivo-Stephen</w:t>
            </w:r>
          </w:p>
        </w:tc>
        <w:tc>
          <w:tcPr>
            <w:tcW w:w="179" w:type="dxa"/>
            <w:noWrap/>
            <w:hideMark/>
          </w:tcPr>
          <w:p w14:paraId="3A47B11A"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6B62181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2D4449C2"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PropReject</w:t>
            </w:r>
          </w:p>
        </w:tc>
        <w:tc>
          <w:tcPr>
            <w:tcW w:w="2229" w:type="dxa"/>
            <w:noWrap/>
            <w:hideMark/>
          </w:tcPr>
          <w:p w14:paraId="2FCE71EB"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This was discussed in RAN2#124. It was agreed that dedicated signalling is the primary way and SIB19 an alternative way.</w:t>
            </w:r>
          </w:p>
        </w:tc>
        <w:tc>
          <w:tcPr>
            <w:tcW w:w="1987" w:type="dxa"/>
            <w:noWrap/>
            <w:hideMark/>
          </w:tcPr>
          <w:p w14:paraId="1DF50111"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whether the epoch time and ephemeris information comes from SIB or dedicated signalling is not clear. We haven’t discussed this yet.</w:t>
            </w:r>
          </w:p>
        </w:tc>
        <w:tc>
          <w:tcPr>
            <w:tcW w:w="2229" w:type="dxa"/>
            <w:noWrap/>
            <w:hideMark/>
          </w:tcPr>
          <w:p w14:paraId="5B36A198"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It is better to clarify the epoch time and ephemeris information is obtained from SIB19.</w:t>
            </w:r>
          </w:p>
        </w:tc>
        <w:tc>
          <w:tcPr>
            <w:tcW w:w="2229" w:type="dxa"/>
            <w:noWrap/>
            <w:hideMark/>
          </w:tcPr>
          <w:p w14:paraId="59E23BCE"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[QC v084] Disagree. We believe what we have currently was the result of discussion. [Ericsson - Ignacio] This was discussed in RAN2#124. It was agreed that dedicated signalling is the primary way and SIB19 an alternative way.</w:t>
            </w:r>
          </w:p>
        </w:tc>
      </w:tr>
      <w:tr w:rsidR="00E71BC9" w:rsidRPr="00E71BC9" w14:paraId="4FF1F661" w14:textId="77777777" w:rsidTr="00E71BC9">
        <w:trPr>
          <w:trHeight w:val="300"/>
        </w:trPr>
        <w:tc>
          <w:tcPr>
            <w:tcW w:w="69" w:type="dxa"/>
            <w:noWrap/>
            <w:hideMark/>
          </w:tcPr>
          <w:p w14:paraId="13F2703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V504</w:t>
            </w:r>
          </w:p>
        </w:tc>
        <w:tc>
          <w:tcPr>
            <w:tcW w:w="198" w:type="dxa"/>
            <w:noWrap/>
            <w:hideMark/>
          </w:tcPr>
          <w:p w14:paraId="56C8EA64"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vivo-Stephen</w:t>
            </w:r>
          </w:p>
        </w:tc>
        <w:tc>
          <w:tcPr>
            <w:tcW w:w="179" w:type="dxa"/>
            <w:noWrap/>
            <w:hideMark/>
          </w:tcPr>
          <w:p w14:paraId="74D4DF6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258C8EC0"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1C4D251B"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PropReject</w:t>
            </w:r>
          </w:p>
        </w:tc>
        <w:tc>
          <w:tcPr>
            <w:tcW w:w="2229" w:type="dxa"/>
            <w:noWrap/>
            <w:hideMark/>
          </w:tcPr>
          <w:p w14:paraId="56954FFA"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A similar agreement was made for regular handover in Rel-17 and, then, it was not deemed necessary to be captured in Stage 3. If this change is fundamental, we need to ammend Rel-17 behaviour first.</w:t>
            </w:r>
          </w:p>
        </w:tc>
        <w:tc>
          <w:tcPr>
            <w:tcW w:w="1987" w:type="dxa"/>
            <w:noWrap/>
            <w:hideMark/>
          </w:tcPr>
          <w:p w14:paraId="392A1B7D"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The agreement (i.e. If ephemeris and epochTime information for candidate CHO cell is not provided in RRC Reconfiguration, the UE may use the corresponding neighbour information from SIB19.) should be captured.</w:t>
            </w:r>
          </w:p>
        </w:tc>
        <w:tc>
          <w:tcPr>
            <w:tcW w:w="2229" w:type="dxa"/>
            <w:noWrap/>
            <w:hideMark/>
          </w:tcPr>
          <w:p w14:paraId="1F6D52F1"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Clarify the epoch time and ephemeris information is obtained from dedicated signalling if provided, otherwise, from SIB19.</w:t>
            </w:r>
          </w:p>
        </w:tc>
        <w:tc>
          <w:tcPr>
            <w:tcW w:w="2229" w:type="dxa"/>
            <w:noWrap/>
            <w:hideMark/>
          </w:tcPr>
          <w:p w14:paraId="4013BACC"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p>
        </w:tc>
      </w:tr>
      <w:tr w:rsidR="00E71BC9" w:rsidRPr="00E71BC9" w14:paraId="5C0CBF0A" w14:textId="77777777" w:rsidTr="00E71BC9">
        <w:trPr>
          <w:trHeight w:val="300"/>
        </w:trPr>
        <w:tc>
          <w:tcPr>
            <w:tcW w:w="69" w:type="dxa"/>
            <w:noWrap/>
            <w:hideMark/>
          </w:tcPr>
          <w:p w14:paraId="1085D204"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V505</w:t>
            </w:r>
          </w:p>
        </w:tc>
        <w:tc>
          <w:tcPr>
            <w:tcW w:w="198" w:type="dxa"/>
            <w:noWrap/>
            <w:hideMark/>
          </w:tcPr>
          <w:p w14:paraId="78D690B5"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vivo-Stephen</w:t>
            </w:r>
          </w:p>
        </w:tc>
        <w:tc>
          <w:tcPr>
            <w:tcW w:w="179" w:type="dxa"/>
            <w:noWrap/>
            <w:hideMark/>
          </w:tcPr>
          <w:p w14:paraId="5A7A64DE"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247C6EE5"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0</w:t>
            </w:r>
          </w:p>
        </w:tc>
        <w:tc>
          <w:tcPr>
            <w:tcW w:w="172" w:type="dxa"/>
            <w:shd w:val="clear" w:color="auto" w:fill="E2EFD9" w:themeFill="accent6" w:themeFillTint="33"/>
            <w:noWrap/>
            <w:hideMark/>
          </w:tcPr>
          <w:p w14:paraId="54B6FD4A"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PropAgree</w:t>
            </w:r>
          </w:p>
        </w:tc>
        <w:tc>
          <w:tcPr>
            <w:tcW w:w="2229" w:type="dxa"/>
            <w:noWrap/>
            <w:hideMark/>
          </w:tcPr>
          <w:p w14:paraId="0B1FDF45"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Ericsson agrees. It will be addressed in WI Rapp CR.</w:t>
            </w:r>
          </w:p>
        </w:tc>
        <w:tc>
          <w:tcPr>
            <w:tcW w:w="1987" w:type="dxa"/>
            <w:noWrap/>
            <w:hideMark/>
          </w:tcPr>
          <w:p w14:paraId="60C5164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The naming is confusing as this field is used for neighbour cell.</w:t>
            </w:r>
          </w:p>
        </w:tc>
        <w:tc>
          <w:tcPr>
            <w:tcW w:w="2229" w:type="dxa"/>
            <w:noWrap/>
            <w:hideMark/>
          </w:tcPr>
          <w:p w14:paraId="03F5B00A"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Change as NeighbourCell.</w:t>
            </w:r>
          </w:p>
        </w:tc>
        <w:tc>
          <w:tcPr>
            <w:tcW w:w="2229" w:type="dxa"/>
            <w:noWrap/>
            <w:hideMark/>
          </w:tcPr>
          <w:p w14:paraId="036F3339"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Ericsson agrees. It will be addressed in WI Rapp CR.</w:t>
            </w:r>
          </w:p>
        </w:tc>
      </w:tr>
      <w:tr w:rsidR="00E71BC9" w:rsidRPr="00E71BC9" w14:paraId="2D34A9C6" w14:textId="77777777" w:rsidTr="00E71BC9">
        <w:trPr>
          <w:trHeight w:val="300"/>
        </w:trPr>
        <w:tc>
          <w:tcPr>
            <w:tcW w:w="69" w:type="dxa"/>
            <w:noWrap/>
            <w:hideMark/>
          </w:tcPr>
          <w:p w14:paraId="7009B859"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V506</w:t>
            </w:r>
          </w:p>
        </w:tc>
        <w:tc>
          <w:tcPr>
            <w:tcW w:w="198" w:type="dxa"/>
            <w:noWrap/>
            <w:hideMark/>
          </w:tcPr>
          <w:p w14:paraId="3FF226BE"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vivo-Stephen</w:t>
            </w:r>
          </w:p>
        </w:tc>
        <w:tc>
          <w:tcPr>
            <w:tcW w:w="179" w:type="dxa"/>
            <w:noWrap/>
            <w:hideMark/>
          </w:tcPr>
          <w:p w14:paraId="47C51CF7"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6FF516AE"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2</w:t>
            </w:r>
          </w:p>
        </w:tc>
        <w:tc>
          <w:tcPr>
            <w:tcW w:w="172" w:type="dxa"/>
            <w:shd w:val="clear" w:color="auto" w:fill="E2EFD9" w:themeFill="accent6" w:themeFillTint="33"/>
            <w:noWrap/>
            <w:hideMark/>
          </w:tcPr>
          <w:p w14:paraId="28740115"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PropAgree</w:t>
            </w:r>
          </w:p>
        </w:tc>
        <w:tc>
          <w:tcPr>
            <w:tcW w:w="2229" w:type="dxa"/>
            <w:noWrap/>
            <w:hideMark/>
          </w:tcPr>
          <w:p w14:paraId="055A3D74"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 xml:space="preserve">[Ericsson - Ignacio] Agree. It will be </w:t>
            </w:r>
            <w:r w:rsidRPr="00E71BC9">
              <w:rPr>
                <w:rFonts w:ascii="Arial" w:eastAsia="Times New Roman" w:hAnsi="Arial" w:cs="Times New Roman"/>
                <w:sz w:val="20"/>
                <w:szCs w:val="20"/>
                <w:lang w:eastAsia="zh-CN"/>
              </w:rPr>
              <w:lastRenderedPageBreak/>
              <w:t>addressed in the Rapp CR.</w:t>
            </w:r>
          </w:p>
        </w:tc>
        <w:tc>
          <w:tcPr>
            <w:tcW w:w="1987" w:type="dxa"/>
            <w:noWrap/>
            <w:hideMark/>
          </w:tcPr>
          <w:p w14:paraId="71F42ECE"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 xml:space="preserve">It is not efficient to use [0, 65536], the max </w:t>
            </w:r>
            <w:r w:rsidRPr="00E71BC9">
              <w:rPr>
                <w:rFonts w:ascii="Arial" w:eastAsia="Times New Roman" w:hAnsi="Arial" w:cs="Times New Roman"/>
                <w:sz w:val="20"/>
                <w:szCs w:val="20"/>
                <w:lang w:eastAsia="zh-CN"/>
              </w:rPr>
              <w:lastRenderedPageBreak/>
              <w:t>value should have been 65535?</w:t>
            </w:r>
          </w:p>
        </w:tc>
        <w:tc>
          <w:tcPr>
            <w:tcW w:w="2229" w:type="dxa"/>
            <w:noWrap/>
            <w:hideMark/>
          </w:tcPr>
          <w:p w14:paraId="3FB4805C"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change the max value to 65535.</w:t>
            </w:r>
          </w:p>
        </w:tc>
        <w:tc>
          <w:tcPr>
            <w:tcW w:w="2229" w:type="dxa"/>
            <w:noWrap/>
            <w:hideMark/>
          </w:tcPr>
          <w:p w14:paraId="0AAD1614"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 xml:space="preserve">[Ericsson - Ignacio] Agree. It will be </w:t>
            </w:r>
            <w:r w:rsidRPr="00E71BC9">
              <w:rPr>
                <w:rFonts w:ascii="Arial" w:eastAsia="Times New Roman" w:hAnsi="Arial" w:cs="Times New Roman"/>
                <w:sz w:val="20"/>
                <w:szCs w:val="20"/>
                <w:lang w:eastAsia="zh-CN"/>
              </w:rPr>
              <w:lastRenderedPageBreak/>
              <w:t>addressed in the Rapp CR.</w:t>
            </w:r>
          </w:p>
        </w:tc>
      </w:tr>
      <w:tr w:rsidR="00E71BC9" w:rsidRPr="00E71BC9" w14:paraId="702CCD44" w14:textId="77777777" w:rsidTr="00E71BC9">
        <w:trPr>
          <w:trHeight w:val="300"/>
        </w:trPr>
        <w:tc>
          <w:tcPr>
            <w:tcW w:w="69" w:type="dxa"/>
            <w:noWrap/>
            <w:hideMark/>
          </w:tcPr>
          <w:p w14:paraId="5861E6B9"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V507</w:t>
            </w:r>
          </w:p>
        </w:tc>
        <w:tc>
          <w:tcPr>
            <w:tcW w:w="198" w:type="dxa"/>
            <w:noWrap/>
            <w:hideMark/>
          </w:tcPr>
          <w:p w14:paraId="3EDD2039"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vivo-Stephen</w:t>
            </w:r>
          </w:p>
        </w:tc>
        <w:tc>
          <w:tcPr>
            <w:tcW w:w="179" w:type="dxa"/>
            <w:noWrap/>
            <w:hideMark/>
          </w:tcPr>
          <w:p w14:paraId="4429FC74"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 IAB</w:t>
            </w:r>
          </w:p>
        </w:tc>
        <w:tc>
          <w:tcPr>
            <w:tcW w:w="68" w:type="dxa"/>
            <w:noWrap/>
            <w:hideMark/>
          </w:tcPr>
          <w:p w14:paraId="19C6CE80"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7AECCE9A"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PropReject</w:t>
            </w:r>
          </w:p>
        </w:tc>
        <w:tc>
          <w:tcPr>
            <w:tcW w:w="2229" w:type="dxa"/>
            <w:noWrap/>
            <w:hideMark/>
          </w:tcPr>
          <w:p w14:paraId="69BEDC6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Ericsson agrees with the intention. However, there is no formal agreement and we do not think these kind of restrictions should be captured in Stage 3.</w:t>
            </w:r>
          </w:p>
        </w:tc>
        <w:tc>
          <w:tcPr>
            <w:tcW w:w="1987" w:type="dxa"/>
            <w:noWrap/>
            <w:hideMark/>
          </w:tcPr>
          <w:p w14:paraId="5A1B7D24"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The periodicity that can be used for RACH-less should be clarified</w:t>
            </w:r>
          </w:p>
        </w:tc>
        <w:tc>
          <w:tcPr>
            <w:tcW w:w="2229" w:type="dxa"/>
            <w:noWrap/>
            <w:hideMark/>
          </w:tcPr>
          <w:p w14:paraId="6B9CC0B7"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Clarify only 1, 2, 4, 5, 8, 10, 16, 20, 32, 40, 64, 80, 128, 160, 320, 640 can be used for RACH-less CG.</w:t>
            </w:r>
          </w:p>
        </w:tc>
        <w:tc>
          <w:tcPr>
            <w:tcW w:w="2229" w:type="dxa"/>
            <w:noWrap/>
            <w:hideMark/>
          </w:tcPr>
          <w:p w14:paraId="779A293C"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Ericsson agrees with the intention. However, there is no formal agreement and we do not think these kind of restrictions should be captured in Stage 3.</w:t>
            </w:r>
          </w:p>
        </w:tc>
      </w:tr>
      <w:tr w:rsidR="00E71BC9" w:rsidRPr="00E71BC9" w14:paraId="4AC2F228" w14:textId="77777777" w:rsidTr="00E71BC9">
        <w:trPr>
          <w:trHeight w:val="300"/>
        </w:trPr>
        <w:tc>
          <w:tcPr>
            <w:tcW w:w="69" w:type="dxa"/>
            <w:noWrap/>
            <w:hideMark/>
          </w:tcPr>
          <w:p w14:paraId="01CBAE41"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V508</w:t>
            </w:r>
          </w:p>
        </w:tc>
        <w:tc>
          <w:tcPr>
            <w:tcW w:w="198" w:type="dxa"/>
            <w:noWrap/>
            <w:hideMark/>
          </w:tcPr>
          <w:p w14:paraId="7DE8B386"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vivo-Stephen</w:t>
            </w:r>
          </w:p>
        </w:tc>
        <w:tc>
          <w:tcPr>
            <w:tcW w:w="179" w:type="dxa"/>
            <w:noWrap/>
            <w:hideMark/>
          </w:tcPr>
          <w:p w14:paraId="633C198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13AD79DD"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0128D0E1"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PropAgree</w:t>
            </w:r>
          </w:p>
        </w:tc>
        <w:tc>
          <w:tcPr>
            <w:tcW w:w="2229" w:type="dxa"/>
            <w:noWrap/>
            <w:hideMark/>
          </w:tcPr>
          <w:p w14:paraId="15E2070E"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Agree. It will be addressed in the Rapp CR.</w:t>
            </w:r>
          </w:p>
        </w:tc>
        <w:tc>
          <w:tcPr>
            <w:tcW w:w="1987" w:type="dxa"/>
            <w:noWrap/>
            <w:hideMark/>
          </w:tcPr>
          <w:p w14:paraId="1B356A39"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the configured grant is not in cg-NTN-RACH-Less-Configuration. The current expression is not correct.</w:t>
            </w:r>
          </w:p>
        </w:tc>
        <w:tc>
          <w:tcPr>
            <w:tcW w:w="2229" w:type="dxa"/>
            <w:noWrap/>
            <w:hideMark/>
          </w:tcPr>
          <w:p w14:paraId="6B38CC48"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release the uplink grant configuration(s) configured for RACH-less handover</w:t>
            </w:r>
          </w:p>
        </w:tc>
        <w:tc>
          <w:tcPr>
            <w:tcW w:w="2229" w:type="dxa"/>
            <w:noWrap/>
            <w:hideMark/>
          </w:tcPr>
          <w:p w14:paraId="7D01D7DB"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Agree. It will be addressed in the Rapp CR.</w:t>
            </w:r>
          </w:p>
        </w:tc>
      </w:tr>
      <w:tr w:rsidR="00E71BC9" w:rsidRPr="00E71BC9" w14:paraId="306854D0" w14:textId="77777777" w:rsidTr="00E71BC9">
        <w:trPr>
          <w:trHeight w:val="300"/>
        </w:trPr>
        <w:tc>
          <w:tcPr>
            <w:tcW w:w="69" w:type="dxa"/>
            <w:noWrap/>
            <w:hideMark/>
          </w:tcPr>
          <w:p w14:paraId="33D0BD47"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X041</w:t>
            </w:r>
          </w:p>
        </w:tc>
        <w:tc>
          <w:tcPr>
            <w:tcW w:w="198" w:type="dxa"/>
            <w:noWrap/>
            <w:hideMark/>
          </w:tcPr>
          <w:p w14:paraId="69FA10FA"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Xiaomi (Xiaolong)</w:t>
            </w:r>
          </w:p>
        </w:tc>
        <w:tc>
          <w:tcPr>
            <w:tcW w:w="179" w:type="dxa"/>
            <w:noWrap/>
            <w:hideMark/>
          </w:tcPr>
          <w:p w14:paraId="396A2BE6"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3922F1AB"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0C9E022B"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PropReject</w:t>
            </w:r>
          </w:p>
        </w:tc>
        <w:tc>
          <w:tcPr>
            <w:tcW w:w="2229" w:type="dxa"/>
            <w:noWrap/>
            <w:hideMark/>
          </w:tcPr>
          <w:p w14:paraId="24C5E551"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As discussed in RAN2#124, NTN neigbour cell info does not trigger T430 start since it is not a serving cell.</w:t>
            </w:r>
          </w:p>
        </w:tc>
        <w:tc>
          <w:tcPr>
            <w:tcW w:w="1987" w:type="dxa"/>
            <w:noWrap/>
            <w:hideMark/>
          </w:tcPr>
          <w:p w14:paraId="56FB2905"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According the T430 definition, the TN UE will start the T430 when the ue receives the SIB19, but the SIB19 in TN is for the RRC inactive/idle UE for cell reselection, so the UE behaviour when the T430 is expired is not needed for the TN connected UE.</w:t>
            </w:r>
          </w:p>
        </w:tc>
        <w:tc>
          <w:tcPr>
            <w:tcW w:w="2229" w:type="dxa"/>
            <w:noWrap/>
            <w:hideMark/>
          </w:tcPr>
          <w:p w14:paraId="7C61816D"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Change ‘The UE shall’ to ‘The UE to access NR via NTN access shall’</w:t>
            </w:r>
          </w:p>
        </w:tc>
        <w:tc>
          <w:tcPr>
            <w:tcW w:w="2229" w:type="dxa"/>
            <w:noWrap/>
            <w:hideMark/>
          </w:tcPr>
          <w:p w14:paraId="43AF1FEB"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As discussed in RAN2#124, NTN neigbour cell info does not trigger T430 start since it is not a serving cell.</w:t>
            </w:r>
          </w:p>
        </w:tc>
      </w:tr>
      <w:tr w:rsidR="00E71BC9" w:rsidRPr="00E71BC9" w14:paraId="5178DB8B" w14:textId="77777777" w:rsidTr="00E71BC9">
        <w:trPr>
          <w:trHeight w:val="300"/>
        </w:trPr>
        <w:tc>
          <w:tcPr>
            <w:tcW w:w="69" w:type="dxa"/>
            <w:noWrap/>
            <w:hideMark/>
          </w:tcPr>
          <w:p w14:paraId="2D8A6C42"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X042</w:t>
            </w:r>
          </w:p>
        </w:tc>
        <w:tc>
          <w:tcPr>
            <w:tcW w:w="198" w:type="dxa"/>
            <w:noWrap/>
            <w:hideMark/>
          </w:tcPr>
          <w:p w14:paraId="3267D866"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Xiaomi (Xiaolong)</w:t>
            </w:r>
          </w:p>
        </w:tc>
        <w:tc>
          <w:tcPr>
            <w:tcW w:w="179" w:type="dxa"/>
            <w:noWrap/>
            <w:hideMark/>
          </w:tcPr>
          <w:p w14:paraId="54E59247"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062983BD"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01AFAA41"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PropReject</w:t>
            </w:r>
          </w:p>
        </w:tc>
        <w:tc>
          <w:tcPr>
            <w:tcW w:w="2229" w:type="dxa"/>
            <w:noWrap/>
            <w:hideMark/>
          </w:tcPr>
          <w:p w14:paraId="4B2322C1"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 xml:space="preserve">[Ericsson - Ignacio] We agree with the RIL's intention and </w:t>
            </w:r>
            <w:r w:rsidRPr="00E71BC9">
              <w:rPr>
                <w:rFonts w:ascii="Arial" w:eastAsia="Times New Roman" w:hAnsi="Arial" w:cs="Times New Roman"/>
                <w:sz w:val="20"/>
                <w:szCs w:val="20"/>
                <w:lang w:eastAsia="zh-CN"/>
              </w:rPr>
              <w:lastRenderedPageBreak/>
              <w:t>think it should be captured in Stage 2.</w:t>
            </w:r>
          </w:p>
        </w:tc>
        <w:tc>
          <w:tcPr>
            <w:tcW w:w="1987" w:type="dxa"/>
            <w:noWrap/>
            <w:hideMark/>
          </w:tcPr>
          <w:p w14:paraId="1DF9273A"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 xml:space="preserve">RAN2 made agreements that combination of RACH-less HO with </w:t>
            </w:r>
            <w:r w:rsidRPr="00E71BC9">
              <w:rPr>
                <w:rFonts w:ascii="Arial" w:eastAsia="Times New Roman" w:hAnsi="Arial" w:cs="Times New Roman"/>
                <w:sz w:val="20"/>
                <w:szCs w:val="20"/>
                <w:lang w:eastAsia="zh-CN"/>
              </w:rPr>
              <w:lastRenderedPageBreak/>
              <w:t>time-based CHO is supported in Rel-18 NTN for both Configured and Dynamic Grant. Which means only time based CHO can be configured with RACH-less HO.</w:t>
            </w:r>
          </w:p>
        </w:tc>
        <w:tc>
          <w:tcPr>
            <w:tcW w:w="2229" w:type="dxa"/>
            <w:noWrap/>
            <w:hideMark/>
          </w:tcPr>
          <w:p w14:paraId="7A628FC5"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The above agreement should be caputured in somewhere.</w:t>
            </w:r>
          </w:p>
        </w:tc>
        <w:tc>
          <w:tcPr>
            <w:tcW w:w="2229" w:type="dxa"/>
            <w:noWrap/>
            <w:hideMark/>
          </w:tcPr>
          <w:p w14:paraId="32325F25"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 xml:space="preserve">[Ericsson - Ignacio] We agree with the RIL's intention and </w:t>
            </w:r>
            <w:r w:rsidRPr="00E71BC9">
              <w:rPr>
                <w:rFonts w:ascii="Arial" w:eastAsia="Times New Roman" w:hAnsi="Arial" w:cs="Times New Roman"/>
                <w:sz w:val="20"/>
                <w:szCs w:val="20"/>
                <w:lang w:eastAsia="zh-CN"/>
              </w:rPr>
              <w:lastRenderedPageBreak/>
              <w:t>think it should be captured in Stage 2.</w:t>
            </w:r>
          </w:p>
        </w:tc>
      </w:tr>
      <w:tr w:rsidR="00E71BC9" w:rsidRPr="00E71BC9" w14:paraId="665DCD52" w14:textId="77777777" w:rsidTr="00E71BC9">
        <w:trPr>
          <w:trHeight w:val="300"/>
        </w:trPr>
        <w:tc>
          <w:tcPr>
            <w:tcW w:w="69" w:type="dxa"/>
            <w:noWrap/>
            <w:hideMark/>
          </w:tcPr>
          <w:p w14:paraId="248B39D1"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X044</w:t>
            </w:r>
          </w:p>
        </w:tc>
        <w:tc>
          <w:tcPr>
            <w:tcW w:w="198" w:type="dxa"/>
            <w:noWrap/>
            <w:hideMark/>
          </w:tcPr>
          <w:p w14:paraId="0C35C3FF"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Xiaomi (Xiaolong)</w:t>
            </w:r>
          </w:p>
        </w:tc>
        <w:tc>
          <w:tcPr>
            <w:tcW w:w="179" w:type="dxa"/>
            <w:noWrap/>
            <w:hideMark/>
          </w:tcPr>
          <w:p w14:paraId="05ACC28A"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4FAFE4C0"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29E77191"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PropAgree</w:t>
            </w:r>
          </w:p>
        </w:tc>
        <w:tc>
          <w:tcPr>
            <w:tcW w:w="2229" w:type="dxa"/>
            <w:noWrap/>
            <w:hideMark/>
          </w:tcPr>
          <w:p w14:paraId="2EFC9D05"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To be addressed by mobileIAB WI Rapp.</w:t>
            </w:r>
          </w:p>
        </w:tc>
        <w:tc>
          <w:tcPr>
            <w:tcW w:w="1987" w:type="dxa"/>
            <w:noWrap/>
            <w:hideMark/>
          </w:tcPr>
          <w:p w14:paraId="2C209E63"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The wording seems that the ‘source’ can be configured only when the source cell is a mobile IAB cell, but the NTN can configure the ‘source’ as well.</w:t>
            </w:r>
          </w:p>
        </w:tc>
        <w:tc>
          <w:tcPr>
            <w:tcW w:w="2229" w:type="dxa"/>
            <w:noWrap/>
            <w:hideMark/>
          </w:tcPr>
          <w:p w14:paraId="7A690012"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Suggest change the description accordingly.</w:t>
            </w:r>
          </w:p>
        </w:tc>
        <w:tc>
          <w:tcPr>
            <w:tcW w:w="2229" w:type="dxa"/>
            <w:noWrap/>
            <w:hideMark/>
          </w:tcPr>
          <w:p w14:paraId="2934B704"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p>
        </w:tc>
      </w:tr>
      <w:tr w:rsidR="00E71BC9" w:rsidRPr="00E71BC9" w14:paraId="077AF91A" w14:textId="77777777" w:rsidTr="00E71BC9">
        <w:trPr>
          <w:trHeight w:val="300"/>
        </w:trPr>
        <w:tc>
          <w:tcPr>
            <w:tcW w:w="69" w:type="dxa"/>
            <w:noWrap/>
            <w:hideMark/>
          </w:tcPr>
          <w:p w14:paraId="379ABDD2"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X403</w:t>
            </w:r>
          </w:p>
        </w:tc>
        <w:tc>
          <w:tcPr>
            <w:tcW w:w="198" w:type="dxa"/>
            <w:noWrap/>
            <w:hideMark/>
          </w:tcPr>
          <w:p w14:paraId="467104DE"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Xiaomi (Xiaolong)</w:t>
            </w:r>
          </w:p>
        </w:tc>
        <w:tc>
          <w:tcPr>
            <w:tcW w:w="179" w:type="dxa"/>
            <w:noWrap/>
            <w:hideMark/>
          </w:tcPr>
          <w:p w14:paraId="78D4A1D8"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1051DC93"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2F87A5AE"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PropReject</w:t>
            </w:r>
          </w:p>
        </w:tc>
        <w:tc>
          <w:tcPr>
            <w:tcW w:w="2229" w:type="dxa"/>
            <w:noWrap/>
            <w:hideMark/>
          </w:tcPr>
          <w:p w14:paraId="01EBD97C"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No description was added to the Release 17 list extension. If it is needed, it needs to be agreed for Rel-17 first.</w:t>
            </w:r>
          </w:p>
        </w:tc>
        <w:tc>
          <w:tcPr>
            <w:tcW w:w="1987" w:type="dxa"/>
            <w:noWrap/>
            <w:hideMark/>
          </w:tcPr>
          <w:p w14:paraId="50031248"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It is not clear how to associate the satellite information with the neighbour cell.</w:t>
            </w:r>
          </w:p>
        </w:tc>
        <w:tc>
          <w:tcPr>
            <w:tcW w:w="2229" w:type="dxa"/>
            <w:noWrap/>
            <w:hideMark/>
          </w:tcPr>
          <w:p w14:paraId="20E142C1"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In the filed description, it should indicate ‘If cellsToAddModListExt-v18xy is present, it shall contain the same number of entries, listed in the same order as in cellsToAddModList (without suffix).’</w:t>
            </w:r>
          </w:p>
        </w:tc>
        <w:tc>
          <w:tcPr>
            <w:tcW w:w="2229" w:type="dxa"/>
            <w:noWrap/>
            <w:hideMark/>
          </w:tcPr>
          <w:p w14:paraId="7CCAB47C"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No description was added to the Release 17 list extension. If it is needed, it needs to be agreed for Rel-17 first.</w:t>
            </w:r>
          </w:p>
        </w:tc>
      </w:tr>
      <w:tr w:rsidR="00E71BC9" w:rsidRPr="00E71BC9" w14:paraId="42C137EB" w14:textId="77777777" w:rsidTr="00E71BC9">
        <w:trPr>
          <w:trHeight w:val="300"/>
        </w:trPr>
        <w:tc>
          <w:tcPr>
            <w:tcW w:w="69" w:type="dxa"/>
            <w:noWrap/>
            <w:hideMark/>
          </w:tcPr>
          <w:p w14:paraId="13B31E42"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Z330</w:t>
            </w:r>
          </w:p>
        </w:tc>
        <w:tc>
          <w:tcPr>
            <w:tcW w:w="198" w:type="dxa"/>
            <w:noWrap/>
            <w:hideMark/>
          </w:tcPr>
          <w:p w14:paraId="599C8C36"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ZTE(Zhihong)</w:t>
            </w:r>
          </w:p>
        </w:tc>
        <w:tc>
          <w:tcPr>
            <w:tcW w:w="179" w:type="dxa"/>
            <w:noWrap/>
            <w:hideMark/>
          </w:tcPr>
          <w:p w14:paraId="65BBE355"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740D2D69"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1</w:t>
            </w:r>
          </w:p>
        </w:tc>
        <w:tc>
          <w:tcPr>
            <w:tcW w:w="172" w:type="dxa"/>
            <w:shd w:val="clear" w:color="auto" w:fill="E2EFD9" w:themeFill="accent6" w:themeFillTint="33"/>
            <w:noWrap/>
            <w:hideMark/>
          </w:tcPr>
          <w:p w14:paraId="389406D0"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PropReject</w:t>
            </w:r>
          </w:p>
        </w:tc>
        <w:tc>
          <w:tcPr>
            <w:tcW w:w="2229" w:type="dxa"/>
            <w:noWrap/>
            <w:hideMark/>
          </w:tcPr>
          <w:p w14:paraId="21D6222C"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We would prefer not to modify Rel-17 agreed text. No strong opinion.</w:t>
            </w:r>
          </w:p>
        </w:tc>
        <w:tc>
          <w:tcPr>
            <w:tcW w:w="1987" w:type="dxa"/>
            <w:noWrap/>
            <w:hideMark/>
          </w:tcPr>
          <w:p w14:paraId="2EE9A5D6"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suggest to update to a fixed reference location to align with the field description.</w:t>
            </w:r>
          </w:p>
        </w:tc>
        <w:tc>
          <w:tcPr>
            <w:tcW w:w="2229" w:type="dxa"/>
            <w:noWrap/>
            <w:hideMark/>
          </w:tcPr>
          <w:p w14:paraId="548BD0E4"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Update the ‘reference location’ to ‘fixed reference location’ in EventD1 description here and in EventD1 /CondEvent D1 description in reportConfigNR accordingly.</w:t>
            </w:r>
          </w:p>
        </w:tc>
        <w:tc>
          <w:tcPr>
            <w:tcW w:w="2229" w:type="dxa"/>
            <w:noWrap/>
            <w:hideMark/>
          </w:tcPr>
          <w:p w14:paraId="12D9A5FB"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We would prefer not to modify Rel-17. No strong opinion.</w:t>
            </w:r>
          </w:p>
        </w:tc>
      </w:tr>
      <w:tr w:rsidR="00E71BC9" w:rsidRPr="00E71BC9" w14:paraId="492C1E27" w14:textId="77777777" w:rsidTr="00E71BC9">
        <w:trPr>
          <w:trHeight w:val="300"/>
        </w:trPr>
        <w:tc>
          <w:tcPr>
            <w:tcW w:w="69" w:type="dxa"/>
            <w:noWrap/>
            <w:hideMark/>
          </w:tcPr>
          <w:p w14:paraId="098B12E2"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Z332</w:t>
            </w:r>
          </w:p>
        </w:tc>
        <w:tc>
          <w:tcPr>
            <w:tcW w:w="198" w:type="dxa"/>
            <w:noWrap/>
            <w:hideMark/>
          </w:tcPr>
          <w:p w14:paraId="376019C8"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ZTE(Zhihong)</w:t>
            </w:r>
          </w:p>
        </w:tc>
        <w:tc>
          <w:tcPr>
            <w:tcW w:w="179" w:type="dxa"/>
            <w:noWrap/>
            <w:hideMark/>
          </w:tcPr>
          <w:p w14:paraId="7CC9D18A"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65788AB3"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2</w:t>
            </w:r>
          </w:p>
        </w:tc>
        <w:tc>
          <w:tcPr>
            <w:tcW w:w="172" w:type="dxa"/>
            <w:shd w:val="clear" w:color="auto" w:fill="E2EFD9" w:themeFill="accent6" w:themeFillTint="33"/>
            <w:noWrap/>
            <w:hideMark/>
          </w:tcPr>
          <w:p w14:paraId="5C6DE0B3"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PropReject</w:t>
            </w:r>
          </w:p>
        </w:tc>
        <w:tc>
          <w:tcPr>
            <w:tcW w:w="2229" w:type="dxa"/>
            <w:noWrap/>
            <w:hideMark/>
          </w:tcPr>
          <w:p w14:paraId="7E520D8A"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 xml:space="preserve">[Ericsson - Ignacio] We have some sympathy for Issue 1 </w:t>
            </w:r>
            <w:r w:rsidRPr="00E71BC9">
              <w:rPr>
                <w:rFonts w:ascii="Arial" w:eastAsia="Times New Roman" w:hAnsi="Arial" w:cs="Times New Roman"/>
                <w:sz w:val="20"/>
                <w:szCs w:val="20"/>
                <w:lang w:eastAsia="zh-CN"/>
              </w:rPr>
              <w:lastRenderedPageBreak/>
              <w:t>which can be clarified in the description. For Issue 2, if a neighbouring cell is intra-frequency, the UE will measure it. Thus, there is no use in Skipping measurements.</w:t>
            </w:r>
          </w:p>
        </w:tc>
        <w:tc>
          <w:tcPr>
            <w:tcW w:w="1987" w:type="dxa"/>
            <w:noWrap/>
            <w:hideMark/>
          </w:tcPr>
          <w:p w14:paraId="2CDE5128"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 xml:space="preserve">Issue 1. It is ambiguous whether TN coverage </w:t>
            </w:r>
            <w:r w:rsidRPr="00E71BC9">
              <w:rPr>
                <w:rFonts w:ascii="Arial" w:eastAsia="Times New Roman" w:hAnsi="Arial" w:cs="Times New Roman"/>
                <w:sz w:val="20"/>
                <w:szCs w:val="20"/>
                <w:lang w:eastAsia="zh-CN"/>
              </w:rPr>
              <w:lastRenderedPageBreak/>
              <w:t>broadcast in SIB25 shall be always associated with a frequency.  Issue 2. Whether it can be associated with intra-frequencies since currently tn-AreaId is only broadcast in SIB4/5. However for HAPS, there could be neighboring TN cell on the frequency.</w:t>
            </w:r>
          </w:p>
        </w:tc>
        <w:tc>
          <w:tcPr>
            <w:tcW w:w="2229" w:type="dxa"/>
            <w:noWrap/>
            <w:hideMark/>
          </w:tcPr>
          <w:p w14:paraId="67DC4644"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We will bring a contribution on this topic</w:t>
            </w:r>
          </w:p>
        </w:tc>
        <w:tc>
          <w:tcPr>
            <w:tcW w:w="2229" w:type="dxa"/>
            <w:noWrap/>
            <w:hideMark/>
          </w:tcPr>
          <w:p w14:paraId="08809DA3"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 xml:space="preserve">[Ericsson - Ignacio] We have some sympathy for Issue 1 </w:t>
            </w:r>
            <w:r w:rsidRPr="00E71BC9">
              <w:rPr>
                <w:rFonts w:ascii="Arial" w:eastAsia="Times New Roman" w:hAnsi="Arial" w:cs="Times New Roman"/>
                <w:sz w:val="20"/>
                <w:szCs w:val="20"/>
                <w:lang w:eastAsia="zh-CN"/>
              </w:rPr>
              <w:lastRenderedPageBreak/>
              <w:t>which can be clarified in the description. For Issue 2, if a neighbouring cell is intra-frequency, the UE will measure it. Thus, there is no use in Skipping measurements.</w:t>
            </w:r>
          </w:p>
        </w:tc>
      </w:tr>
      <w:tr w:rsidR="00E71BC9" w:rsidRPr="00E71BC9" w14:paraId="46F3DF36" w14:textId="77777777" w:rsidTr="00E71BC9">
        <w:trPr>
          <w:trHeight w:val="300"/>
        </w:trPr>
        <w:tc>
          <w:tcPr>
            <w:tcW w:w="69" w:type="dxa"/>
            <w:noWrap/>
            <w:hideMark/>
          </w:tcPr>
          <w:p w14:paraId="3C8D90E4"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lastRenderedPageBreak/>
              <w:t>Z333</w:t>
            </w:r>
          </w:p>
        </w:tc>
        <w:tc>
          <w:tcPr>
            <w:tcW w:w="198" w:type="dxa"/>
            <w:noWrap/>
            <w:hideMark/>
          </w:tcPr>
          <w:p w14:paraId="1DFC42B0"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ZTE(Zhihong)</w:t>
            </w:r>
          </w:p>
        </w:tc>
        <w:tc>
          <w:tcPr>
            <w:tcW w:w="179" w:type="dxa"/>
            <w:noWrap/>
            <w:hideMark/>
          </w:tcPr>
          <w:p w14:paraId="719714D4"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NTN</w:t>
            </w:r>
          </w:p>
        </w:tc>
        <w:tc>
          <w:tcPr>
            <w:tcW w:w="68" w:type="dxa"/>
            <w:noWrap/>
            <w:hideMark/>
          </w:tcPr>
          <w:p w14:paraId="4C070060"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2</w:t>
            </w:r>
          </w:p>
        </w:tc>
        <w:tc>
          <w:tcPr>
            <w:tcW w:w="172" w:type="dxa"/>
            <w:shd w:val="clear" w:color="auto" w:fill="E2EFD9" w:themeFill="accent6" w:themeFillTint="33"/>
            <w:noWrap/>
            <w:hideMark/>
          </w:tcPr>
          <w:p w14:paraId="43A64A5A"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ToDo</w:t>
            </w:r>
          </w:p>
        </w:tc>
        <w:tc>
          <w:tcPr>
            <w:tcW w:w="2229" w:type="dxa"/>
            <w:noWrap/>
            <w:hideMark/>
          </w:tcPr>
          <w:p w14:paraId="5D7F329D"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We have some sympathy for the proposed solution. Ericsson thinks that ntn-config for unchanged PCI will only be included in the notification period prior to the change rather than the whole cell duration (period between t-StartService and t-Service).</w:t>
            </w:r>
          </w:p>
        </w:tc>
        <w:tc>
          <w:tcPr>
            <w:tcW w:w="1987" w:type="dxa"/>
            <w:noWrap/>
            <w:hideMark/>
          </w:tcPr>
          <w:p w14:paraId="73C59BA8"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There is no need to always provide NTN-Config in advance to UE since UE can obtain this information by reacquiring target satellite SIB19</w:t>
            </w:r>
          </w:p>
        </w:tc>
        <w:tc>
          <w:tcPr>
            <w:tcW w:w="2229" w:type="dxa"/>
            <w:noWrap/>
            <w:hideMark/>
          </w:tcPr>
          <w:p w14:paraId="7EF16813"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Change NTN-Config to be optional with need code R. And update the corresponding procedure text accordingly. We will bring contribution on this.</w:t>
            </w:r>
          </w:p>
        </w:tc>
        <w:tc>
          <w:tcPr>
            <w:tcW w:w="2229" w:type="dxa"/>
            <w:noWrap/>
            <w:hideMark/>
          </w:tcPr>
          <w:p w14:paraId="0E329E69" w14:textId="77777777" w:rsidR="00E71BC9" w:rsidRPr="00E71BC9" w:rsidRDefault="00E71BC9" w:rsidP="00E71BC9">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E71BC9">
              <w:rPr>
                <w:rFonts w:ascii="Arial" w:eastAsia="Times New Roman" w:hAnsi="Arial" w:cs="Times New Roman"/>
                <w:sz w:val="20"/>
                <w:szCs w:val="20"/>
                <w:lang w:eastAsia="zh-CN"/>
              </w:rPr>
              <w:t>[Ericsson - Ignacio] We have some sympathy for the proposed solution. Still, we envision ntn-config for unchanged PCI will only be included in the period prior to the change.</w:t>
            </w:r>
          </w:p>
        </w:tc>
      </w:tr>
    </w:tbl>
    <w:p w14:paraId="12323E1C" w14:textId="77777777" w:rsidR="00035AC7" w:rsidRDefault="00035AC7">
      <w:pPr>
        <w:overflowPunct w:val="0"/>
        <w:autoSpaceDE w:val="0"/>
        <w:autoSpaceDN w:val="0"/>
        <w:adjustRightInd w:val="0"/>
        <w:spacing w:after="120"/>
        <w:jc w:val="both"/>
        <w:textAlignment w:val="baseline"/>
        <w:rPr>
          <w:rFonts w:ascii="Arial" w:eastAsia="Times New Roman" w:hAnsi="Arial" w:cs="Times New Roman"/>
          <w:sz w:val="20"/>
          <w:szCs w:val="20"/>
          <w:lang w:val="en-GB" w:eastAsia="zh-CN"/>
        </w:rPr>
      </w:pPr>
    </w:p>
    <w:p w14:paraId="47964A20" w14:textId="77777777" w:rsidR="00035AC7" w:rsidRDefault="00035AC7">
      <w:pPr>
        <w:overflowPunct w:val="0"/>
        <w:autoSpaceDE w:val="0"/>
        <w:autoSpaceDN w:val="0"/>
        <w:adjustRightInd w:val="0"/>
        <w:spacing w:after="120"/>
        <w:jc w:val="both"/>
        <w:textAlignment w:val="baseline"/>
        <w:rPr>
          <w:rFonts w:ascii="Arial" w:eastAsia="Times New Roman" w:hAnsi="Arial" w:cs="Times New Roman"/>
          <w:sz w:val="20"/>
          <w:szCs w:val="20"/>
          <w:lang w:val="en-GB" w:eastAsia="zh-CN"/>
        </w:rPr>
      </w:pPr>
    </w:p>
    <w:p w14:paraId="6BA68776" w14:textId="77777777" w:rsidR="00035AC7" w:rsidRDefault="00035AC7">
      <w:pPr>
        <w:overflowPunct w:val="0"/>
        <w:autoSpaceDE w:val="0"/>
        <w:autoSpaceDN w:val="0"/>
        <w:adjustRightInd w:val="0"/>
        <w:spacing w:after="120"/>
        <w:jc w:val="both"/>
        <w:textAlignment w:val="baseline"/>
        <w:rPr>
          <w:rFonts w:ascii="Arial" w:eastAsia="Times New Roman" w:hAnsi="Arial" w:cs="Times New Roman"/>
          <w:sz w:val="20"/>
          <w:szCs w:val="20"/>
          <w:lang w:val="en-GB" w:eastAsia="zh-CN"/>
        </w:rPr>
        <w:sectPr w:rsidR="00035AC7">
          <w:headerReference w:type="even" r:id="rId11"/>
          <w:headerReference w:type="default" r:id="rId12"/>
          <w:footerReference w:type="even" r:id="rId13"/>
          <w:footerReference w:type="default" r:id="rId14"/>
          <w:headerReference w:type="first" r:id="rId15"/>
          <w:footerReference w:type="first" r:id="rId16"/>
          <w:pgSz w:w="16838" w:h="11906" w:orient="landscape"/>
          <w:pgMar w:top="1440" w:right="1440" w:bottom="1440" w:left="1440" w:header="708" w:footer="708" w:gutter="0"/>
          <w:cols w:space="708"/>
          <w:docGrid w:linePitch="360"/>
        </w:sectPr>
      </w:pPr>
    </w:p>
    <w:p w14:paraId="6EA7B1E6" w14:textId="77777777" w:rsidR="00035AC7" w:rsidRPr="00F8540B" w:rsidRDefault="00035AC7">
      <w:pPr>
        <w:rPr>
          <w:lang w:val="en-US"/>
        </w:rPr>
      </w:pPr>
    </w:p>
    <w:sectPr w:rsidR="00035AC7" w:rsidRPr="00F8540B">
      <w:type w:val="continuous"/>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B4006" w14:textId="77777777" w:rsidR="001F51CA" w:rsidRDefault="001F51CA" w:rsidP="00F8540B">
      <w:pPr>
        <w:spacing w:after="0" w:line="240" w:lineRule="auto"/>
      </w:pPr>
      <w:r>
        <w:separator/>
      </w:r>
    </w:p>
  </w:endnote>
  <w:endnote w:type="continuationSeparator" w:id="0">
    <w:p w14:paraId="05E0FA28" w14:textId="77777777" w:rsidR="001F51CA" w:rsidRDefault="001F51CA" w:rsidP="00F854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B351D" w14:textId="77777777" w:rsidR="00F8540B" w:rsidRDefault="00F854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FF768" w14:textId="77777777" w:rsidR="00F8540B" w:rsidRDefault="00F854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88C0D" w14:textId="77777777" w:rsidR="00F8540B" w:rsidRDefault="00F854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055BA" w14:textId="77777777" w:rsidR="001F51CA" w:rsidRDefault="001F51CA" w:rsidP="00F8540B">
      <w:pPr>
        <w:spacing w:after="0" w:line="240" w:lineRule="auto"/>
      </w:pPr>
      <w:r>
        <w:separator/>
      </w:r>
    </w:p>
  </w:footnote>
  <w:footnote w:type="continuationSeparator" w:id="0">
    <w:p w14:paraId="1516559B" w14:textId="77777777" w:rsidR="001F51CA" w:rsidRDefault="001F51CA" w:rsidP="00F854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58C34" w14:textId="77777777" w:rsidR="00F8540B" w:rsidRDefault="00F854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81633" w14:textId="77777777" w:rsidR="00F8540B" w:rsidRDefault="00F854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742C7" w14:textId="77777777" w:rsidR="00F8540B" w:rsidRDefault="00F8540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defaultTabStop w:val="72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B95"/>
    <w:rsid w:val="00035AC7"/>
    <w:rsid w:val="00061ECD"/>
    <w:rsid w:val="000656A3"/>
    <w:rsid w:val="00097E09"/>
    <w:rsid w:val="001170CA"/>
    <w:rsid w:val="0013413D"/>
    <w:rsid w:val="001F51CA"/>
    <w:rsid w:val="00220528"/>
    <w:rsid w:val="00282441"/>
    <w:rsid w:val="002B586A"/>
    <w:rsid w:val="003140C2"/>
    <w:rsid w:val="00351F43"/>
    <w:rsid w:val="003B08E2"/>
    <w:rsid w:val="003D3C64"/>
    <w:rsid w:val="004037E9"/>
    <w:rsid w:val="00436306"/>
    <w:rsid w:val="004643D3"/>
    <w:rsid w:val="004F1ACC"/>
    <w:rsid w:val="005133B3"/>
    <w:rsid w:val="005553B0"/>
    <w:rsid w:val="005758D1"/>
    <w:rsid w:val="00705E81"/>
    <w:rsid w:val="00786D53"/>
    <w:rsid w:val="007B72AB"/>
    <w:rsid w:val="007D05D3"/>
    <w:rsid w:val="007D3DEC"/>
    <w:rsid w:val="00800787"/>
    <w:rsid w:val="00802BDC"/>
    <w:rsid w:val="00834306"/>
    <w:rsid w:val="0086414E"/>
    <w:rsid w:val="00930915"/>
    <w:rsid w:val="0095701A"/>
    <w:rsid w:val="00964137"/>
    <w:rsid w:val="00975A28"/>
    <w:rsid w:val="00980F0A"/>
    <w:rsid w:val="00A00A72"/>
    <w:rsid w:val="00A75F33"/>
    <w:rsid w:val="00B110EC"/>
    <w:rsid w:val="00BC5377"/>
    <w:rsid w:val="00C24A65"/>
    <w:rsid w:val="00C3346D"/>
    <w:rsid w:val="00C8297A"/>
    <w:rsid w:val="00C9605A"/>
    <w:rsid w:val="00D2002E"/>
    <w:rsid w:val="00E71BC9"/>
    <w:rsid w:val="00E8403A"/>
    <w:rsid w:val="00EA1768"/>
    <w:rsid w:val="00F8540B"/>
    <w:rsid w:val="00FE6B95"/>
    <w:rsid w:val="00FF06C7"/>
    <w:rsid w:val="13E36AB9"/>
    <w:rsid w:val="5C0327A2"/>
    <w:rsid w:val="6A0E597A"/>
    <w:rsid w:val="73A2196A"/>
    <w:rsid w:val="7469325C"/>
    <w:rsid w:val="77255E0F"/>
    <w:rsid w:val="7CC32E48"/>
    <w:rsid w:val="7D16288F"/>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5D98BE"/>
  <w15:docId w15:val="{7576D76E-3503-4E66-A872-71AFDDD8E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en-I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heme="minorHAnsi" w:eastAsiaTheme="minorHAnsi" w:hAnsiTheme="minorHAnsi" w:cstheme="minorBidi"/>
      <w:sz w:val="24"/>
      <w:szCs w:val="24"/>
      <w:lang w:val="zh-CN"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Chars="400" w:left="100" w:hangingChars="200" w:hanging="200"/>
    </w:pPr>
  </w:style>
  <w:style w:type="paragraph" w:styleId="CommentText">
    <w:name w:val="annotation text"/>
    <w:basedOn w:val="Normal"/>
    <w:uiPriority w:val="99"/>
    <w:qFormat/>
    <w:rPr>
      <w:rFonts w:eastAsia="PMingLiU"/>
      <w:lang w:val="en-US" w:eastAsia="zh-TW"/>
    </w:rPr>
  </w:style>
  <w:style w:type="paragraph" w:styleId="BodyText">
    <w:name w:val="Body Text"/>
    <w:basedOn w:val="Normal"/>
    <w:link w:val="BodyTextChar"/>
    <w:qFormat/>
    <w:pPr>
      <w:overflowPunct w:val="0"/>
      <w:autoSpaceDE w:val="0"/>
      <w:autoSpaceDN w:val="0"/>
      <w:adjustRightInd w:val="0"/>
      <w:spacing w:after="120"/>
      <w:jc w:val="both"/>
      <w:textAlignment w:val="baseline"/>
    </w:pPr>
    <w:rPr>
      <w:rFonts w:ascii="Arial" w:eastAsia="Times New Roman" w:hAnsi="Arial" w:cs="Times New Roman"/>
      <w:sz w:val="20"/>
      <w:szCs w:val="20"/>
      <w:lang w:val="en-GB" w:eastAsia="zh-CN"/>
    </w:rPr>
  </w:style>
  <w:style w:type="paragraph" w:styleId="List4">
    <w:name w:val="List 4"/>
    <w:basedOn w:val="Normal"/>
    <w:uiPriority w:val="99"/>
    <w:semiHidden/>
    <w:unhideWhenUsed/>
    <w:qFormat/>
    <w:pPr>
      <w:ind w:leftChars="600" w:left="100" w:hangingChars="200" w:hanging="200"/>
    </w:p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u w:val="single"/>
    </w:rPr>
  </w:style>
  <w:style w:type="character" w:styleId="Hyperlink">
    <w:name w:val="Hyperlink"/>
    <w:basedOn w:val="DefaultParagraphFont"/>
    <w:uiPriority w:val="99"/>
    <w:semiHidden/>
    <w:unhideWhenUsed/>
    <w:qFormat/>
    <w:rPr>
      <w:color w:val="0563C1"/>
      <w:u w:val="single"/>
    </w:rPr>
  </w:style>
  <w:style w:type="character" w:styleId="CommentReference">
    <w:name w:val="annotation reference"/>
    <w:basedOn w:val="DefaultParagraphFont"/>
    <w:qFormat/>
    <w:rPr>
      <w:sz w:val="16"/>
      <w:szCs w:val="16"/>
    </w:rPr>
  </w:style>
  <w:style w:type="character" w:customStyle="1" w:styleId="Heading1Char">
    <w:name w:val="Heading 1 Char"/>
    <w:basedOn w:val="DefaultParagraphFont"/>
    <w:link w:val="Heading1"/>
    <w:qFormat/>
    <w:rPr>
      <w:rFonts w:ascii="Arial" w:eastAsia="Times New Roman" w:hAnsi="Arial" w:cs="Times New Roman"/>
      <w:sz w:val="36"/>
      <w:szCs w:val="20"/>
      <w:lang w:val="en-GB" w:eastAsia="ja-JP"/>
    </w:r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paragraph" w:customStyle="1" w:styleId="msonormal0">
    <w:name w:val="msonormal"/>
    <w:basedOn w:val="Normal"/>
    <w:qFormat/>
    <w:pPr>
      <w:spacing w:before="100" w:beforeAutospacing="1" w:after="100" w:afterAutospacing="1"/>
    </w:pPr>
    <w:rPr>
      <w:rFonts w:ascii="Times New Roman" w:eastAsia="Times New Roman" w:hAnsi="Times New Roman" w:cs="Times New Roman"/>
      <w:lang w:eastAsia="en-GB"/>
    </w:rPr>
  </w:style>
  <w:style w:type="paragraph" w:customStyle="1" w:styleId="xl63">
    <w:name w:val="xl63"/>
    <w:basedOn w:val="Normal"/>
    <w:qFormat/>
    <w:pPr>
      <w:spacing w:before="100" w:beforeAutospacing="1" w:after="100" w:afterAutospacing="1"/>
      <w:textAlignment w:val="top"/>
    </w:pPr>
    <w:rPr>
      <w:rFonts w:ascii="Times New Roman" w:eastAsia="Times New Roman" w:hAnsi="Times New Roman" w:cs="Times New Roman"/>
      <w:lang w:eastAsia="en-GB"/>
    </w:rPr>
  </w:style>
  <w:style w:type="paragraph" w:customStyle="1" w:styleId="xl64">
    <w:name w:val="xl64"/>
    <w:basedOn w:val="Normal"/>
    <w:qFormat/>
    <w:pPr>
      <w:spacing w:before="100" w:beforeAutospacing="1" w:after="100" w:afterAutospacing="1"/>
      <w:jc w:val="center"/>
      <w:textAlignment w:val="top"/>
    </w:pPr>
    <w:rPr>
      <w:rFonts w:ascii="Times New Roman" w:eastAsia="Times New Roman" w:hAnsi="Times New Roman" w:cs="Times New Roman"/>
      <w:lang w:eastAsia="en-GB"/>
    </w:rPr>
  </w:style>
  <w:style w:type="paragraph" w:customStyle="1" w:styleId="xl65">
    <w:name w:val="xl65"/>
    <w:basedOn w:val="Normal"/>
    <w:qFormat/>
    <w:pPr>
      <w:spacing w:before="100" w:beforeAutospacing="1" w:after="100" w:afterAutospacing="1"/>
      <w:textAlignment w:val="top"/>
    </w:pPr>
    <w:rPr>
      <w:rFonts w:ascii="Times New Roman" w:eastAsia="Times New Roman" w:hAnsi="Times New Roman" w:cs="Times New Roman"/>
      <w:lang w:eastAsia="en-GB"/>
    </w:rPr>
  </w:style>
  <w:style w:type="paragraph" w:customStyle="1" w:styleId="xl66">
    <w:name w:val="xl66"/>
    <w:basedOn w:val="Normal"/>
    <w:qFormat/>
    <w:pPr>
      <w:spacing w:before="100" w:beforeAutospacing="1" w:after="100" w:afterAutospacing="1"/>
      <w:textAlignment w:val="top"/>
    </w:pPr>
    <w:rPr>
      <w:rFonts w:ascii="Times New Roman" w:eastAsia="Times New Roman" w:hAnsi="Times New Roman" w:cs="Times New Roman"/>
      <w:b/>
      <w:bCs/>
      <w:lang w:eastAsia="en-GB"/>
    </w:rPr>
  </w:style>
  <w:style w:type="paragraph" w:customStyle="1" w:styleId="xl67">
    <w:name w:val="xl67"/>
    <w:basedOn w:val="Normal"/>
    <w:qFormat/>
    <w:pPr>
      <w:spacing w:before="100" w:beforeAutospacing="1" w:after="100" w:afterAutospacing="1"/>
      <w:jc w:val="center"/>
      <w:textAlignment w:val="top"/>
    </w:pPr>
    <w:rPr>
      <w:rFonts w:ascii="Times New Roman" w:eastAsia="Times New Roman" w:hAnsi="Times New Roman" w:cs="Times New Roman"/>
      <w:b/>
      <w:bCs/>
      <w:lang w:eastAsia="en-GB"/>
    </w:rPr>
  </w:style>
  <w:style w:type="paragraph" w:customStyle="1" w:styleId="xl68">
    <w:name w:val="xl68"/>
    <w:basedOn w:val="Normal"/>
    <w:qFormat/>
    <w:pPr>
      <w:spacing w:before="100" w:beforeAutospacing="1" w:after="100" w:afterAutospacing="1"/>
      <w:textAlignment w:val="top"/>
    </w:pPr>
    <w:rPr>
      <w:rFonts w:ascii="Times New Roman" w:eastAsia="Times New Roman" w:hAnsi="Times New Roman" w:cs="Times New Roman"/>
      <w:b/>
      <w:bCs/>
      <w:lang w:eastAsia="en-GB"/>
    </w:rPr>
  </w:style>
  <w:style w:type="paragraph" w:customStyle="1" w:styleId="xl69">
    <w:name w:val="xl69"/>
    <w:basedOn w:val="Normal"/>
    <w:qFormat/>
    <w:pPr>
      <w:spacing w:before="100" w:beforeAutospacing="1" w:after="100" w:afterAutospacing="1"/>
    </w:pPr>
    <w:rPr>
      <w:rFonts w:ascii="Times New Roman" w:eastAsia="Times New Roman" w:hAnsi="Times New Roman" w:cs="Times New Roman"/>
      <w:b/>
      <w:bCs/>
      <w:lang w:eastAsia="en-GB"/>
    </w:rPr>
  </w:style>
  <w:style w:type="paragraph" w:customStyle="1" w:styleId="xl70">
    <w:name w:val="xl70"/>
    <w:basedOn w:val="Normal"/>
    <w:qFormat/>
    <w:pPr>
      <w:pBdr>
        <w:top w:val="single" w:sz="4" w:space="0" w:color="D0CECE"/>
        <w:left w:val="single" w:sz="4" w:space="0" w:color="D0CECE"/>
        <w:bottom w:val="single" w:sz="4" w:space="0" w:color="D0CECE"/>
      </w:pBdr>
      <w:shd w:val="clear" w:color="000000" w:fill="E2EFDA"/>
      <w:spacing w:before="100" w:beforeAutospacing="1" w:after="100" w:afterAutospacing="1"/>
      <w:jc w:val="center"/>
      <w:textAlignment w:val="top"/>
    </w:pPr>
    <w:rPr>
      <w:rFonts w:ascii="Times New Roman" w:eastAsia="Times New Roman" w:hAnsi="Times New Roman" w:cs="Times New Roman"/>
      <w:lang w:eastAsia="en-GB"/>
    </w:rPr>
  </w:style>
  <w:style w:type="paragraph" w:customStyle="1" w:styleId="xl71">
    <w:name w:val="xl71"/>
    <w:basedOn w:val="Normal"/>
    <w:qFormat/>
    <w:pPr>
      <w:pBdr>
        <w:top w:val="single" w:sz="4" w:space="0" w:color="D0CECE"/>
        <w:left w:val="single" w:sz="4" w:space="0" w:color="D0CECE"/>
        <w:bottom w:val="single" w:sz="4" w:space="0" w:color="D0CECE"/>
        <w:right w:val="single" w:sz="4" w:space="0" w:color="D0CECE"/>
      </w:pBdr>
      <w:spacing w:before="100" w:beforeAutospacing="1" w:after="100" w:afterAutospacing="1"/>
      <w:jc w:val="center"/>
      <w:textAlignment w:val="top"/>
    </w:pPr>
    <w:rPr>
      <w:rFonts w:ascii="Times New Roman" w:eastAsia="Times New Roman" w:hAnsi="Times New Roman" w:cs="Times New Roman"/>
      <w:b/>
      <w:bCs/>
      <w:lang w:eastAsia="en-GB"/>
    </w:rPr>
  </w:style>
  <w:style w:type="paragraph" w:customStyle="1" w:styleId="xl72">
    <w:name w:val="xl72"/>
    <w:basedOn w:val="Normal"/>
    <w:qFormat/>
    <w:pPr>
      <w:pBdr>
        <w:top w:val="single" w:sz="4" w:space="0" w:color="D0CECE"/>
        <w:left w:val="single" w:sz="4" w:space="0" w:color="D0CECE"/>
        <w:bottom w:val="single" w:sz="4" w:space="0" w:color="D0CECE"/>
        <w:right w:val="single" w:sz="4" w:space="0" w:color="D0CECE"/>
      </w:pBdr>
      <w:spacing w:before="100" w:beforeAutospacing="1" w:after="100" w:afterAutospacing="1"/>
      <w:jc w:val="center"/>
      <w:textAlignment w:val="top"/>
    </w:pPr>
    <w:rPr>
      <w:rFonts w:ascii="Times New Roman" w:eastAsia="Times New Roman" w:hAnsi="Times New Roman" w:cs="Times New Roman"/>
      <w:lang w:eastAsia="en-GB"/>
    </w:rPr>
  </w:style>
  <w:style w:type="paragraph" w:customStyle="1" w:styleId="xl73">
    <w:name w:val="xl73"/>
    <w:basedOn w:val="Normal"/>
    <w:qFormat/>
    <w:pPr>
      <w:pBdr>
        <w:top w:val="single" w:sz="4" w:space="0" w:color="D0CECE"/>
        <w:left w:val="single" w:sz="4" w:space="0" w:color="D0CECE"/>
        <w:bottom w:val="single" w:sz="4" w:space="0" w:color="D0CECE"/>
        <w:right w:val="single" w:sz="4" w:space="0" w:color="D0CECE"/>
      </w:pBdr>
      <w:shd w:val="clear" w:color="000000" w:fill="E2EFDA"/>
      <w:spacing w:before="100" w:beforeAutospacing="1" w:after="100" w:afterAutospacing="1"/>
      <w:textAlignment w:val="top"/>
    </w:pPr>
    <w:rPr>
      <w:rFonts w:ascii="Times New Roman" w:eastAsia="Times New Roman" w:hAnsi="Times New Roman" w:cs="Times New Roman"/>
      <w:lang w:eastAsia="en-GB"/>
    </w:rPr>
  </w:style>
  <w:style w:type="character" w:customStyle="1" w:styleId="B4Char">
    <w:name w:val="B4 Char"/>
    <w:basedOn w:val="DefaultParagraphFont"/>
    <w:link w:val="B4"/>
    <w:qFormat/>
    <w:rPr>
      <w:rFonts w:ascii="Times New Roman" w:eastAsia="Times New Roman" w:hAnsi="Times New Roman" w:cs="Times New Roman" w:hint="default"/>
      <w:lang w:val="en-US"/>
    </w:rPr>
  </w:style>
  <w:style w:type="paragraph" w:customStyle="1" w:styleId="B4">
    <w:name w:val="B4"/>
    <w:basedOn w:val="List4"/>
    <w:link w:val="B4Char"/>
    <w:qFormat/>
    <w:pPr>
      <w:overflowPunct w:val="0"/>
      <w:autoSpaceDE w:val="0"/>
      <w:autoSpaceDN w:val="0"/>
      <w:adjustRightInd w:val="0"/>
      <w:spacing w:after="180"/>
      <w:ind w:left="1418" w:hanging="284"/>
    </w:pPr>
    <w:rPr>
      <w:rFonts w:ascii="Times New Roman" w:eastAsia="Times New Roman" w:hAnsi="Times New Roman" w:cs="Times New Roman"/>
      <w:sz w:val="20"/>
      <w:szCs w:val="20"/>
      <w:lang w:val="en-US" w:eastAsia="zh-CN"/>
    </w:rPr>
  </w:style>
  <w:style w:type="paragraph" w:customStyle="1" w:styleId="B3">
    <w:name w:val="B3"/>
    <w:basedOn w:val="List3"/>
    <w:link w:val="B3Char2"/>
    <w:qFormat/>
    <w:pPr>
      <w:overflowPunct w:val="0"/>
      <w:autoSpaceDE w:val="0"/>
      <w:autoSpaceDN w:val="0"/>
      <w:adjustRightInd w:val="0"/>
      <w:spacing w:after="180"/>
      <w:ind w:left="1135" w:hanging="284"/>
    </w:pPr>
    <w:rPr>
      <w:rFonts w:ascii="Times New Roman" w:eastAsia="Times New Roman" w:hAnsi="Times New Roman" w:cs="Times New Roman"/>
      <w:sz w:val="20"/>
      <w:szCs w:val="20"/>
      <w:lang w:val="en-US" w:eastAsia="zh-CN"/>
    </w:rPr>
  </w:style>
  <w:style w:type="character" w:customStyle="1" w:styleId="B3Char2">
    <w:name w:val="B3 Char2"/>
    <w:basedOn w:val="DefaultParagraphFont"/>
    <w:link w:val="B3"/>
    <w:qFormat/>
    <w:rPr>
      <w:rFonts w:ascii="Times New Roman" w:eastAsia="Times New Roman" w:hAnsi="Times New Roman" w:cs="Times New Roman" w:hint="default"/>
      <w:lang w:val="en-US"/>
    </w:rPr>
  </w:style>
  <w:style w:type="paragraph" w:customStyle="1" w:styleId="TAL">
    <w:name w:val="TAL"/>
    <w:basedOn w:val="Normal"/>
    <w:qFormat/>
    <w:pPr>
      <w:keepNext/>
      <w:keepLines/>
      <w:spacing w:after="0"/>
    </w:pPr>
    <w:rPr>
      <w:rFonts w:ascii="Arial" w:hAnsi="Arial"/>
      <w:sz w:val="18"/>
    </w:rPr>
  </w:style>
  <w:style w:type="paragraph" w:styleId="Revision">
    <w:name w:val="Revision"/>
    <w:hidden/>
    <w:uiPriority w:val="99"/>
    <w:semiHidden/>
    <w:rsid w:val="003D3C64"/>
    <w:pPr>
      <w:spacing w:after="0" w:line="240" w:lineRule="auto"/>
    </w:pPr>
    <w:rPr>
      <w:rFonts w:asciiTheme="minorHAnsi" w:eastAsiaTheme="minorHAnsi" w:hAnsiTheme="minorHAnsi" w:cstheme="minorBidi"/>
      <w:sz w:val="24"/>
      <w:szCs w:val="24"/>
      <w:lang w:val="zh-CN" w:eastAsia="en-US"/>
    </w:rPr>
  </w:style>
  <w:style w:type="paragraph" w:styleId="Header">
    <w:name w:val="header"/>
    <w:basedOn w:val="Normal"/>
    <w:link w:val="HeaderChar"/>
    <w:uiPriority w:val="99"/>
    <w:unhideWhenUsed/>
    <w:rsid w:val="00F8540B"/>
    <w:pPr>
      <w:tabs>
        <w:tab w:val="center" w:pos="4153"/>
        <w:tab w:val="right" w:pos="8306"/>
      </w:tabs>
      <w:snapToGrid w:val="0"/>
    </w:pPr>
    <w:rPr>
      <w:sz w:val="20"/>
      <w:szCs w:val="20"/>
    </w:rPr>
  </w:style>
  <w:style w:type="character" w:customStyle="1" w:styleId="HeaderChar">
    <w:name w:val="Header Char"/>
    <w:basedOn w:val="DefaultParagraphFont"/>
    <w:link w:val="Header"/>
    <w:uiPriority w:val="99"/>
    <w:rsid w:val="00F8540B"/>
    <w:rPr>
      <w:rFonts w:asciiTheme="minorHAnsi" w:eastAsiaTheme="minorHAnsi" w:hAnsiTheme="minorHAnsi" w:cstheme="minorBidi"/>
      <w:lang w:val="zh-CN" w:eastAsia="en-US"/>
    </w:rPr>
  </w:style>
  <w:style w:type="paragraph" w:styleId="Footer">
    <w:name w:val="footer"/>
    <w:basedOn w:val="Normal"/>
    <w:link w:val="FooterChar"/>
    <w:uiPriority w:val="99"/>
    <w:unhideWhenUsed/>
    <w:rsid w:val="00F8540B"/>
    <w:pPr>
      <w:tabs>
        <w:tab w:val="center" w:pos="4153"/>
        <w:tab w:val="right" w:pos="8306"/>
      </w:tabs>
      <w:snapToGrid w:val="0"/>
    </w:pPr>
    <w:rPr>
      <w:sz w:val="20"/>
      <w:szCs w:val="20"/>
    </w:rPr>
  </w:style>
  <w:style w:type="character" w:customStyle="1" w:styleId="FooterChar">
    <w:name w:val="Footer Char"/>
    <w:basedOn w:val="DefaultParagraphFont"/>
    <w:link w:val="Footer"/>
    <w:uiPriority w:val="99"/>
    <w:rsid w:val="00F8540B"/>
    <w:rPr>
      <w:rFonts w:asciiTheme="minorHAnsi" w:eastAsiaTheme="minorHAnsi" w:hAnsiTheme="minorHAnsi" w:cstheme="minorBidi"/>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754566">
      <w:bodyDiv w:val="1"/>
      <w:marLeft w:val="0"/>
      <w:marRight w:val="0"/>
      <w:marTop w:val="0"/>
      <w:marBottom w:val="0"/>
      <w:divBdr>
        <w:top w:val="none" w:sz="0" w:space="0" w:color="auto"/>
        <w:left w:val="none" w:sz="0" w:space="0" w:color="auto"/>
        <w:bottom w:val="none" w:sz="0" w:space="0" w:color="auto"/>
        <w:right w:val="none" w:sz="0" w:space="0" w:color="auto"/>
      </w:divBdr>
    </w:div>
    <w:div w:id="855192644">
      <w:bodyDiv w:val="1"/>
      <w:marLeft w:val="0"/>
      <w:marRight w:val="0"/>
      <w:marTop w:val="0"/>
      <w:marBottom w:val="0"/>
      <w:divBdr>
        <w:top w:val="none" w:sz="0" w:space="0" w:color="auto"/>
        <w:left w:val="none" w:sz="0" w:space="0" w:color="auto"/>
        <w:bottom w:val="none" w:sz="0" w:space="0" w:color="auto"/>
        <w:right w:val="none" w:sz="0" w:space="0" w:color="auto"/>
      </w:divBdr>
    </w:div>
    <w:div w:id="1375546046">
      <w:bodyDiv w:val="1"/>
      <w:marLeft w:val="0"/>
      <w:marRight w:val="0"/>
      <w:marTop w:val="0"/>
      <w:marBottom w:val="0"/>
      <w:divBdr>
        <w:top w:val="none" w:sz="0" w:space="0" w:color="auto"/>
        <w:left w:val="none" w:sz="0" w:space="0" w:color="auto"/>
        <w:bottom w:val="none" w:sz="0" w:space="0" w:color="auto"/>
        <w:right w:val="none" w:sz="0" w:space="0" w:color="auto"/>
      </w:divBdr>
    </w:div>
    <w:div w:id="1515223712">
      <w:bodyDiv w:val="1"/>
      <w:marLeft w:val="0"/>
      <w:marRight w:val="0"/>
      <w:marTop w:val="0"/>
      <w:marBottom w:val="0"/>
      <w:divBdr>
        <w:top w:val="none" w:sz="0" w:space="0" w:color="auto"/>
        <w:left w:val="none" w:sz="0" w:space="0" w:color="auto"/>
        <w:bottom w:val="none" w:sz="0" w:space="0" w:color="auto"/>
        <w:right w:val="none" w:sz="0" w:space="0" w:color="auto"/>
      </w:divBdr>
    </w:div>
    <w:div w:id="1693460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AA321-7117-4C7C-809B-E92CC4C29992}">
  <ds:schemaRefs>
    <ds:schemaRef ds:uri="http://schemas.microsoft.com/sharepoint/v3/contenttype/forms"/>
  </ds:schemaRefs>
</ds:datastoreItem>
</file>

<file path=customXml/itemProps2.xml><?xml version="1.0" encoding="utf-8"?>
<ds:datastoreItem xmlns:ds="http://schemas.openxmlformats.org/officeDocument/2006/customXml" ds:itemID="{6DA6071B-2439-4E6D-9F9A-90431C60289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20E6026-0C5C-4FB1-AC9B-2C9D27943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25A63F-7315-44DD-836C-700D346F1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30</Pages>
  <Words>8081</Words>
  <Characters>46066</Characters>
  <Application>Microsoft Office Word</Application>
  <DocSecurity>0</DocSecurity>
  <Lines>383</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RAN2_125</cp:lastModifiedBy>
  <cp:revision>48</cp:revision>
  <dcterms:created xsi:type="dcterms:W3CDTF">2024-02-06T12:35:00Z</dcterms:created>
  <dcterms:modified xsi:type="dcterms:W3CDTF">2024-02-19T12:41:00Z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8F7E309A779A454D86EDEBEAE1D6C37E</vt:lpwstr>
  </property>
  <property fmtid="{D5CDD505-2E9C-101B-9397-08002B2CF9AE}" pid="4" name="MSIP_Label_83bcef13-7cac-433f-ba1d-47a323951816_Enabled">
    <vt:lpwstr>true</vt:lpwstr>
  </property>
  <property fmtid="{D5CDD505-2E9C-101B-9397-08002B2CF9AE}" pid="5" name="MSIP_Label_83bcef13-7cac-433f-ba1d-47a323951816_SetDate">
    <vt:lpwstr>2024-02-09T02:43:59Z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47ff7a7d-a9e6-4348-9e89-6e422901a41c</vt:lpwstr>
  </property>
  <property fmtid="{D5CDD505-2E9C-101B-9397-08002B2CF9AE}" pid="10" name="MSIP_Label_83bcef13-7cac-433f-ba1d-47a323951816_ContentBits">
    <vt:lpwstr>0</vt:lpwstr>
  </property>
  <property fmtid="{D5CDD505-2E9C-101B-9397-08002B2CF9AE}" pid="11" name="ContentTypeId">
    <vt:lpwstr>0x010100F3E9551B3FDDA24EBF0A209BAAD637CA</vt:lpwstr>
  </property>
  <property fmtid="{D5CDD505-2E9C-101B-9397-08002B2CF9AE}" pid="12" name="MediaServiceImageTags">
    <vt:lpwstr/>
  </property>
</Properties>
</file>